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AA987" w14:textId="77777777" w:rsidR="00CC0EC1" w:rsidRDefault="00CC0EC1">
      <w:pPr>
        <w:pBdr>
          <w:top w:val="nil"/>
          <w:left w:val="nil"/>
          <w:bottom w:val="nil"/>
          <w:right w:val="nil"/>
          <w:between w:val="nil"/>
        </w:pBdr>
        <w:spacing w:line="240" w:lineRule="auto"/>
        <w:jc w:val="center"/>
        <w:rPr>
          <w:b/>
          <w:color w:val="33339B"/>
          <w:sz w:val="36"/>
          <w:szCs w:val="36"/>
        </w:rPr>
      </w:pPr>
    </w:p>
    <w:p w14:paraId="0ED87EBB" w14:textId="77777777" w:rsidR="00EB53FD" w:rsidRDefault="00AE0633">
      <w:pPr>
        <w:pBdr>
          <w:top w:val="nil"/>
          <w:left w:val="nil"/>
          <w:bottom w:val="nil"/>
          <w:right w:val="nil"/>
          <w:between w:val="nil"/>
        </w:pBdr>
        <w:spacing w:line="240" w:lineRule="auto"/>
        <w:jc w:val="center"/>
        <w:rPr>
          <w:b/>
          <w:color w:val="33339B"/>
          <w:sz w:val="36"/>
          <w:szCs w:val="36"/>
        </w:rPr>
      </w:pPr>
      <w:r>
        <w:rPr>
          <w:b/>
          <w:color w:val="33339B"/>
          <w:sz w:val="36"/>
          <w:szCs w:val="36"/>
        </w:rPr>
        <w:t xml:space="preserve"> </w:t>
      </w:r>
    </w:p>
    <w:p w14:paraId="04A66214" w14:textId="77777777" w:rsidR="00EB53FD" w:rsidRDefault="00EB53FD">
      <w:pPr>
        <w:pBdr>
          <w:top w:val="nil"/>
          <w:left w:val="nil"/>
          <w:bottom w:val="nil"/>
          <w:right w:val="nil"/>
          <w:between w:val="nil"/>
        </w:pBdr>
        <w:spacing w:line="240" w:lineRule="auto"/>
        <w:jc w:val="center"/>
        <w:rPr>
          <w:b/>
          <w:color w:val="33339B"/>
          <w:sz w:val="36"/>
          <w:szCs w:val="36"/>
        </w:rPr>
      </w:pPr>
    </w:p>
    <w:p w14:paraId="5DCA77C4" w14:textId="77777777" w:rsidR="00EB53FD" w:rsidRDefault="00EB53FD">
      <w:pPr>
        <w:pBdr>
          <w:top w:val="nil"/>
          <w:left w:val="nil"/>
          <w:bottom w:val="nil"/>
          <w:right w:val="nil"/>
          <w:between w:val="nil"/>
        </w:pBdr>
        <w:spacing w:line="240" w:lineRule="auto"/>
        <w:jc w:val="center"/>
        <w:rPr>
          <w:b/>
          <w:color w:val="33339B"/>
          <w:sz w:val="36"/>
          <w:szCs w:val="36"/>
        </w:rPr>
      </w:pPr>
    </w:p>
    <w:p w14:paraId="25AA904A" w14:textId="77777777" w:rsidR="00EB53FD" w:rsidRDefault="00EB53FD">
      <w:pPr>
        <w:pBdr>
          <w:top w:val="nil"/>
          <w:left w:val="nil"/>
          <w:bottom w:val="nil"/>
          <w:right w:val="nil"/>
          <w:between w:val="nil"/>
        </w:pBdr>
        <w:spacing w:line="240" w:lineRule="auto"/>
        <w:jc w:val="center"/>
        <w:rPr>
          <w:b/>
          <w:color w:val="33339B"/>
          <w:sz w:val="36"/>
          <w:szCs w:val="36"/>
        </w:rPr>
      </w:pPr>
    </w:p>
    <w:p w14:paraId="6D09A9A8" w14:textId="77777777" w:rsidR="00EB53FD" w:rsidRDefault="00EB53FD">
      <w:pPr>
        <w:pBdr>
          <w:top w:val="nil"/>
          <w:left w:val="nil"/>
          <w:bottom w:val="nil"/>
          <w:right w:val="nil"/>
          <w:between w:val="nil"/>
        </w:pBdr>
        <w:spacing w:line="240" w:lineRule="auto"/>
        <w:jc w:val="center"/>
        <w:rPr>
          <w:b/>
          <w:color w:val="33339B"/>
          <w:sz w:val="36"/>
          <w:szCs w:val="36"/>
        </w:rPr>
      </w:pPr>
    </w:p>
    <w:p w14:paraId="756D7707" w14:textId="77777777" w:rsidR="00EB53FD" w:rsidRDefault="00EB53FD">
      <w:pPr>
        <w:pBdr>
          <w:top w:val="nil"/>
          <w:left w:val="nil"/>
          <w:bottom w:val="nil"/>
          <w:right w:val="nil"/>
          <w:between w:val="nil"/>
        </w:pBdr>
        <w:spacing w:line="240" w:lineRule="auto"/>
        <w:jc w:val="center"/>
        <w:rPr>
          <w:b/>
          <w:color w:val="33339B"/>
          <w:sz w:val="36"/>
          <w:szCs w:val="36"/>
        </w:rPr>
      </w:pPr>
    </w:p>
    <w:p w14:paraId="4FE7F295" w14:textId="77777777" w:rsidR="00EB53FD" w:rsidRDefault="00EB53FD">
      <w:pPr>
        <w:pBdr>
          <w:top w:val="nil"/>
          <w:left w:val="nil"/>
          <w:bottom w:val="nil"/>
          <w:right w:val="nil"/>
          <w:between w:val="nil"/>
        </w:pBdr>
        <w:spacing w:line="240" w:lineRule="auto"/>
        <w:jc w:val="center"/>
        <w:rPr>
          <w:b/>
          <w:color w:val="33339B"/>
          <w:sz w:val="36"/>
          <w:szCs w:val="36"/>
        </w:rPr>
      </w:pPr>
    </w:p>
    <w:p w14:paraId="76868977" w14:textId="385FC392" w:rsidR="00EB53FD" w:rsidRDefault="00CC0EC1">
      <w:pPr>
        <w:pBdr>
          <w:top w:val="nil"/>
          <w:left w:val="nil"/>
          <w:bottom w:val="nil"/>
          <w:right w:val="nil"/>
          <w:between w:val="nil"/>
        </w:pBdr>
        <w:spacing w:line="240" w:lineRule="auto"/>
        <w:jc w:val="center"/>
        <w:rPr>
          <w:b/>
          <w:color w:val="1F497D" w:themeColor="text2"/>
          <w:sz w:val="36"/>
          <w:szCs w:val="36"/>
        </w:rPr>
      </w:pPr>
      <w:r w:rsidRPr="00EB53FD">
        <w:rPr>
          <w:b/>
          <w:color w:val="1F497D" w:themeColor="text2"/>
          <w:sz w:val="36"/>
          <w:szCs w:val="36"/>
        </w:rPr>
        <w:t xml:space="preserve">Recommandations et </w:t>
      </w:r>
      <w:r w:rsidR="00B70AC8" w:rsidRPr="00EB53FD">
        <w:rPr>
          <w:b/>
          <w:color w:val="1F497D" w:themeColor="text2"/>
          <w:sz w:val="36"/>
          <w:szCs w:val="36"/>
        </w:rPr>
        <w:t xml:space="preserve">bonnes </w:t>
      </w:r>
      <w:r w:rsidR="00430FED" w:rsidRPr="00EB53FD">
        <w:rPr>
          <w:b/>
          <w:color w:val="1F497D" w:themeColor="text2"/>
          <w:sz w:val="36"/>
          <w:szCs w:val="36"/>
        </w:rPr>
        <w:t>pratiques pour une relation</w:t>
      </w:r>
      <w:r w:rsidRPr="00EB53FD">
        <w:rPr>
          <w:b/>
          <w:color w:val="1F497D" w:themeColor="text2"/>
          <w:sz w:val="36"/>
          <w:szCs w:val="36"/>
        </w:rPr>
        <w:t xml:space="preserve"> client externalisée durable et responsable</w:t>
      </w:r>
    </w:p>
    <w:p w14:paraId="4CDE855D" w14:textId="77777777" w:rsidR="005A5537" w:rsidRDefault="005A5537">
      <w:pPr>
        <w:pBdr>
          <w:top w:val="nil"/>
          <w:left w:val="nil"/>
          <w:bottom w:val="nil"/>
          <w:right w:val="nil"/>
          <w:between w:val="nil"/>
        </w:pBdr>
        <w:spacing w:line="240" w:lineRule="auto"/>
        <w:jc w:val="center"/>
        <w:rPr>
          <w:b/>
          <w:color w:val="1F497D" w:themeColor="text2"/>
          <w:sz w:val="36"/>
          <w:szCs w:val="36"/>
        </w:rPr>
      </w:pPr>
    </w:p>
    <w:p w14:paraId="3057F2E5" w14:textId="6B5B104F" w:rsidR="005A5537" w:rsidRPr="00D76136" w:rsidRDefault="005A5537" w:rsidP="00801B44">
      <w:pPr>
        <w:spacing w:line="240" w:lineRule="auto"/>
        <w:jc w:val="center"/>
        <w:rPr>
          <w:b/>
          <w:color w:val="1F497D" w:themeColor="text2"/>
          <w:sz w:val="36"/>
          <w:szCs w:val="36"/>
        </w:rPr>
      </w:pPr>
    </w:p>
    <w:p w14:paraId="1D7008D5" w14:textId="77777777" w:rsidR="00D76136" w:rsidRPr="00D76136" w:rsidRDefault="00D76136" w:rsidP="00801B44">
      <w:pPr>
        <w:shd w:val="clear" w:color="auto" w:fill="D9D9D9" w:themeFill="background1" w:themeFillShade="D9"/>
        <w:spacing w:line="240" w:lineRule="auto"/>
        <w:jc w:val="center"/>
        <w:rPr>
          <w:bCs/>
          <w:color w:val="1F497D" w:themeColor="text2"/>
          <w:sz w:val="32"/>
          <w:szCs w:val="32"/>
        </w:rPr>
      </w:pPr>
    </w:p>
    <w:p w14:paraId="1F8DA33B" w14:textId="68A20368" w:rsidR="005A5537" w:rsidRDefault="005A5537" w:rsidP="00801B44">
      <w:pPr>
        <w:shd w:val="clear" w:color="auto" w:fill="D9D9D9" w:themeFill="background1" w:themeFillShade="D9"/>
        <w:spacing w:line="240" w:lineRule="auto"/>
        <w:jc w:val="center"/>
        <w:rPr>
          <w:bCs/>
          <w:color w:val="1F497D" w:themeColor="text2"/>
          <w:sz w:val="32"/>
          <w:szCs w:val="32"/>
        </w:rPr>
      </w:pPr>
      <w:r w:rsidRPr="00D76136">
        <w:rPr>
          <w:bCs/>
          <w:color w:val="1F497D" w:themeColor="text2"/>
          <w:sz w:val="32"/>
          <w:szCs w:val="32"/>
        </w:rPr>
        <w:t xml:space="preserve">Dispositions exceptionnelles de mise en œuvre des dispositifs de télétravail en situation de crise sanitaire coronavirus en </w:t>
      </w:r>
      <w:r w:rsidR="00D76136" w:rsidRPr="00D76136">
        <w:rPr>
          <w:bCs/>
          <w:color w:val="1F497D" w:themeColor="text2"/>
          <w:sz w:val="32"/>
          <w:szCs w:val="32"/>
        </w:rPr>
        <w:t>France</w:t>
      </w:r>
    </w:p>
    <w:p w14:paraId="6578C86F" w14:textId="77777777" w:rsidR="00D76136" w:rsidRPr="00D76136" w:rsidRDefault="00D76136" w:rsidP="00801B44">
      <w:pPr>
        <w:shd w:val="clear" w:color="auto" w:fill="D9D9D9" w:themeFill="background1" w:themeFillShade="D9"/>
        <w:spacing w:line="240" w:lineRule="auto"/>
        <w:jc w:val="center"/>
        <w:rPr>
          <w:bCs/>
          <w:color w:val="1F497D" w:themeColor="text2"/>
          <w:sz w:val="32"/>
          <w:szCs w:val="32"/>
        </w:rPr>
      </w:pPr>
    </w:p>
    <w:p w14:paraId="1A940BB5" w14:textId="77777777" w:rsidR="00EB53FD" w:rsidRDefault="00EB53FD">
      <w:pPr>
        <w:rPr>
          <w:b/>
          <w:color w:val="33339B"/>
          <w:sz w:val="36"/>
          <w:szCs w:val="36"/>
        </w:rPr>
      </w:pPr>
      <w:r>
        <w:rPr>
          <w:b/>
          <w:color w:val="33339B"/>
          <w:sz w:val="36"/>
          <w:szCs w:val="36"/>
        </w:rPr>
        <w:br w:type="page"/>
      </w:r>
    </w:p>
    <w:p w14:paraId="0B93B6FB" w14:textId="77777777" w:rsidR="00FE103B" w:rsidRDefault="00FE103B">
      <w:pPr>
        <w:rPr>
          <w:b/>
          <w:color w:val="33339B"/>
          <w:sz w:val="36"/>
          <w:szCs w:val="36"/>
        </w:rPr>
      </w:pPr>
    </w:p>
    <w:p w14:paraId="5D9F8485" w14:textId="77777777" w:rsidR="00CC0EC1" w:rsidRDefault="00CC0EC1">
      <w:pPr>
        <w:pBdr>
          <w:top w:val="nil"/>
          <w:left w:val="nil"/>
          <w:bottom w:val="nil"/>
          <w:right w:val="nil"/>
          <w:between w:val="nil"/>
        </w:pBdr>
        <w:spacing w:line="240" w:lineRule="auto"/>
        <w:jc w:val="center"/>
        <w:rPr>
          <w:b/>
          <w:color w:val="33339B"/>
          <w:sz w:val="36"/>
          <w:szCs w:val="36"/>
        </w:rPr>
      </w:pPr>
    </w:p>
    <w:p w14:paraId="00000003" w14:textId="77777777" w:rsidR="00773DC3" w:rsidRDefault="00773DC3">
      <w:pPr>
        <w:pBdr>
          <w:top w:val="nil"/>
          <w:left w:val="nil"/>
          <w:bottom w:val="nil"/>
          <w:right w:val="nil"/>
          <w:between w:val="nil"/>
        </w:pBdr>
        <w:spacing w:line="240" w:lineRule="auto"/>
        <w:jc w:val="both"/>
        <w:rPr>
          <w:b/>
          <w:color w:val="33339B"/>
        </w:rPr>
      </w:pPr>
    </w:p>
    <w:p w14:paraId="00000005" w14:textId="587E8DBD" w:rsidR="00773DC3" w:rsidRPr="00EB53FD" w:rsidRDefault="00EB53FD" w:rsidP="00EB53FD">
      <w:pPr>
        <w:pBdr>
          <w:top w:val="nil"/>
          <w:left w:val="nil"/>
          <w:bottom w:val="nil"/>
          <w:right w:val="nil"/>
          <w:between w:val="nil"/>
        </w:pBdr>
        <w:spacing w:line="240" w:lineRule="auto"/>
        <w:jc w:val="center"/>
        <w:rPr>
          <w:b/>
          <w:bCs/>
          <w:color w:val="1F497D" w:themeColor="text2"/>
        </w:rPr>
      </w:pPr>
      <w:r w:rsidRPr="00EB53FD">
        <w:rPr>
          <w:b/>
          <w:bCs/>
          <w:color w:val="1F497D" w:themeColor="text2"/>
        </w:rPr>
        <w:t>PREAMBULE</w:t>
      </w:r>
    </w:p>
    <w:p w14:paraId="00000006" w14:textId="77777777" w:rsidR="00773DC3" w:rsidRDefault="00773DC3">
      <w:pPr>
        <w:pBdr>
          <w:top w:val="nil"/>
          <w:left w:val="nil"/>
          <w:bottom w:val="nil"/>
          <w:right w:val="nil"/>
          <w:between w:val="nil"/>
        </w:pBdr>
        <w:spacing w:line="240" w:lineRule="auto"/>
        <w:jc w:val="both"/>
      </w:pPr>
    </w:p>
    <w:p w14:paraId="55C8E04D" w14:textId="5EFCFD37" w:rsidR="00A1439E" w:rsidRDefault="0057264D">
      <w:pPr>
        <w:pBdr>
          <w:top w:val="nil"/>
          <w:left w:val="nil"/>
          <w:bottom w:val="nil"/>
          <w:right w:val="nil"/>
          <w:between w:val="nil"/>
        </w:pBdr>
        <w:spacing w:line="240" w:lineRule="auto"/>
        <w:jc w:val="both"/>
      </w:pPr>
      <w:r>
        <w:t xml:space="preserve">La </w:t>
      </w:r>
      <w:r w:rsidR="00040186">
        <w:t xml:space="preserve">relation client </w:t>
      </w:r>
      <w:r>
        <w:t>externalisée s’est très</w:t>
      </w:r>
      <w:r w:rsidR="00040186">
        <w:t xml:space="preserve"> </w:t>
      </w:r>
      <w:r w:rsidR="000F6348">
        <w:t>largement professionnalisée</w:t>
      </w:r>
      <w:r w:rsidR="00040186">
        <w:t xml:space="preserve"> </w:t>
      </w:r>
      <w:r w:rsidR="00A1439E">
        <w:t xml:space="preserve">ces dernières années </w:t>
      </w:r>
      <w:r w:rsidR="00040186">
        <w:t xml:space="preserve">et les donneurs d’ordre ont </w:t>
      </w:r>
      <w:r>
        <w:t xml:space="preserve">significativement </w:t>
      </w:r>
      <w:r w:rsidR="00040186">
        <w:t>étendu la palette des missions qu’il</w:t>
      </w:r>
      <w:r w:rsidR="00A1439E">
        <w:t>s confient à leurs prestataires en particulier en les associant à la digitalisation de leur interactions et en étendant leurs attributions aux expertises de Business Process Outsourcing.</w:t>
      </w:r>
      <w:r w:rsidR="00040186">
        <w:t xml:space="preserve"> </w:t>
      </w:r>
      <w:r w:rsidR="00A1439E">
        <w:t xml:space="preserve">Ainsi les prestataires sont devenus de véritables intégrateurs de </w:t>
      </w:r>
      <w:r w:rsidR="003952FB">
        <w:t xml:space="preserve">solutions d’expérience client </w:t>
      </w:r>
      <w:r w:rsidR="00A1439E">
        <w:t xml:space="preserve">assurant la cohérence et la performance des </w:t>
      </w:r>
      <w:r w:rsidR="003952FB">
        <w:t>dispositifs</w:t>
      </w:r>
      <w:r w:rsidR="00A1439E">
        <w:t xml:space="preserve"> qui leurs sont confiés.</w:t>
      </w:r>
    </w:p>
    <w:p w14:paraId="00000008" w14:textId="77777777" w:rsidR="00773DC3" w:rsidRDefault="00773DC3">
      <w:pPr>
        <w:pBdr>
          <w:top w:val="nil"/>
          <w:left w:val="nil"/>
          <w:bottom w:val="nil"/>
          <w:right w:val="nil"/>
          <w:between w:val="nil"/>
        </w:pBdr>
        <w:spacing w:line="240" w:lineRule="auto"/>
        <w:jc w:val="both"/>
      </w:pPr>
    </w:p>
    <w:p w14:paraId="00000009" w14:textId="31C7F489" w:rsidR="00773DC3" w:rsidRPr="00A1439E" w:rsidRDefault="00040186">
      <w:pPr>
        <w:pBdr>
          <w:top w:val="nil"/>
          <w:left w:val="nil"/>
          <w:bottom w:val="nil"/>
          <w:right w:val="nil"/>
          <w:between w:val="nil"/>
        </w:pBdr>
        <w:spacing w:line="240" w:lineRule="auto"/>
        <w:jc w:val="both"/>
      </w:pPr>
      <w:r w:rsidRPr="00A1439E">
        <w:t>La com</w:t>
      </w:r>
      <w:r w:rsidR="0057264D">
        <w:t>plexité grandissante des activité</w:t>
      </w:r>
      <w:r w:rsidRPr="00A1439E">
        <w:t xml:space="preserve">s externalisées combinée à leur caractère de plus en plus stratégique a eu pour conséquence d’augmenter le besoin </w:t>
      </w:r>
      <w:r w:rsidR="00A1439E" w:rsidRPr="00A1439E">
        <w:t>en intégration, formation et développement des ressources impliquées dans la réalisation des prestations</w:t>
      </w:r>
      <w:r w:rsidRPr="00A1439E">
        <w:t xml:space="preserve">. Il est </w:t>
      </w:r>
      <w:r w:rsidR="00A1439E">
        <w:t xml:space="preserve">ainsi </w:t>
      </w:r>
      <w:r w:rsidRPr="00A1439E">
        <w:t>admis</w:t>
      </w:r>
      <w:r w:rsidR="00A1439E">
        <w:t xml:space="preserve"> qu’il faut aujourd’hui </w:t>
      </w:r>
      <w:r w:rsidR="000F6348">
        <w:t>à</w:t>
      </w:r>
      <w:r w:rsidR="003952FB">
        <w:t xml:space="preserve"> minima neuf</w:t>
      </w:r>
      <w:r w:rsidR="00A1439E">
        <w:t xml:space="preserve"> mois pour qu’un agent</w:t>
      </w:r>
      <w:r w:rsidRPr="00A1439E">
        <w:t xml:space="preserve"> puisse atteindre le niveau de performa</w:t>
      </w:r>
      <w:r w:rsidR="0057264D">
        <w:t>nce op</w:t>
      </w:r>
      <w:r w:rsidR="000F6348">
        <w:t>timal. L</w:t>
      </w:r>
      <w:r w:rsidRPr="00A1439E">
        <w:t>es Prestataires ont</w:t>
      </w:r>
      <w:r w:rsidR="000F6348">
        <w:t xml:space="preserve"> donc au fil des années </w:t>
      </w:r>
      <w:r w:rsidRPr="00A1439E">
        <w:t xml:space="preserve">privilégié la création d’emplois </w:t>
      </w:r>
      <w:r w:rsidR="00A1439E" w:rsidRPr="00A1439E">
        <w:t>durables</w:t>
      </w:r>
      <w:r w:rsidRPr="00A1439E">
        <w:t xml:space="preserve"> dan</w:t>
      </w:r>
      <w:r w:rsidR="00A1439E" w:rsidRPr="00A1439E">
        <w:t>s des bassins d’emplois stables</w:t>
      </w:r>
      <w:r w:rsidRPr="00A1439E">
        <w:t xml:space="preserve"> </w:t>
      </w:r>
      <w:r w:rsidR="00A1439E" w:rsidRPr="00A1439E">
        <w:t xml:space="preserve">en particulier </w:t>
      </w:r>
      <w:r w:rsidRPr="00A1439E">
        <w:t>dans les territoires</w:t>
      </w:r>
      <w:r w:rsidR="003952FB">
        <w:t xml:space="preserve"> de nos régions</w:t>
      </w:r>
      <w:r w:rsidR="00A1439E" w:rsidRPr="00A1439E">
        <w:t xml:space="preserve"> dont ils sont souvent les premiers employeurs.</w:t>
      </w:r>
    </w:p>
    <w:p w14:paraId="0000000A" w14:textId="77777777" w:rsidR="00773DC3" w:rsidRDefault="00773DC3">
      <w:pPr>
        <w:pBdr>
          <w:top w:val="nil"/>
          <w:left w:val="nil"/>
          <w:bottom w:val="nil"/>
          <w:right w:val="nil"/>
          <w:between w:val="nil"/>
        </w:pBdr>
        <w:spacing w:line="240" w:lineRule="auto"/>
        <w:jc w:val="both"/>
      </w:pPr>
    </w:p>
    <w:p w14:paraId="0000000B" w14:textId="6EBADB5E" w:rsidR="00773DC3" w:rsidRDefault="00040186">
      <w:pPr>
        <w:pBdr>
          <w:top w:val="nil"/>
          <w:left w:val="nil"/>
          <w:bottom w:val="nil"/>
          <w:right w:val="nil"/>
          <w:between w:val="nil"/>
        </w:pBdr>
        <w:spacing w:line="240" w:lineRule="auto"/>
        <w:jc w:val="both"/>
      </w:pPr>
      <w:r>
        <w:t>Dans le même temps les différentes part</w:t>
      </w:r>
      <w:r w:rsidR="0057264D">
        <w:t>ies prenantes ont travaillé à</w:t>
      </w:r>
      <w:r>
        <w:t xml:space="preserve"> structur</w:t>
      </w:r>
      <w:r w:rsidR="00A1439E">
        <w:t xml:space="preserve">er le métier. Le </w:t>
      </w:r>
      <w:r w:rsidR="00A1439E" w:rsidRPr="000F6348">
        <w:rPr>
          <w:b/>
        </w:rPr>
        <w:t xml:space="preserve">SP2C </w:t>
      </w:r>
      <w:r w:rsidR="00A1439E">
        <w:t>fédère</w:t>
      </w:r>
      <w:r>
        <w:t xml:space="preserve"> les plus grands ac</w:t>
      </w:r>
      <w:r w:rsidR="00A1439E">
        <w:t>teurs de son marché</w:t>
      </w:r>
      <w:r w:rsidR="003952FB">
        <w:t>,</w:t>
      </w:r>
      <w:r w:rsidR="00A1439E">
        <w:t xml:space="preserve"> promeut l’utilité de l’externalisation et anime la</w:t>
      </w:r>
      <w:r>
        <w:t xml:space="preserve"> convention collective</w:t>
      </w:r>
      <w:r w:rsidR="003952FB">
        <w:t xml:space="preserve"> de sa branche ;</w:t>
      </w:r>
      <w:r w:rsidR="00A1439E">
        <w:t xml:space="preserve"> l’</w:t>
      </w:r>
      <w:r w:rsidR="00A1439E" w:rsidRPr="000F6348">
        <w:rPr>
          <w:b/>
        </w:rPr>
        <w:t>AFRC</w:t>
      </w:r>
      <w:r w:rsidR="00A1439E">
        <w:t xml:space="preserve"> contribue largement à la</w:t>
      </w:r>
      <w:r w:rsidR="003952FB">
        <w:t xml:space="preserve"> création et à</w:t>
      </w:r>
      <w:r w:rsidR="00A1439E">
        <w:t xml:space="preserve"> la diffusion d’idées et de pratiques innovantes, l’</w:t>
      </w:r>
      <w:r w:rsidR="00A1439E" w:rsidRPr="000F6348">
        <w:rPr>
          <w:b/>
        </w:rPr>
        <w:t>AFNOR</w:t>
      </w:r>
      <w:r w:rsidR="00A1439E">
        <w:t xml:space="preserve"> et l’</w:t>
      </w:r>
      <w:r w:rsidR="00A1439E" w:rsidRPr="000F6348">
        <w:rPr>
          <w:b/>
        </w:rPr>
        <w:t>INRC</w:t>
      </w:r>
      <w:r w:rsidR="00A1439E">
        <w:t xml:space="preserve"> act</w:t>
      </w:r>
      <w:r w:rsidR="003952FB">
        <w:t>ualisent les référents RSE</w:t>
      </w:r>
      <w:r w:rsidR="00A1439E">
        <w:t xml:space="preserve"> du secteur par la promo</w:t>
      </w:r>
      <w:r w:rsidR="003952FB">
        <w:t>tion de leurs certifications</w:t>
      </w:r>
      <w:r w:rsidR="00A1439E">
        <w:t xml:space="preserve"> respectives.</w:t>
      </w:r>
    </w:p>
    <w:p w14:paraId="0000000C" w14:textId="77777777" w:rsidR="00773DC3" w:rsidRDefault="00773DC3">
      <w:pPr>
        <w:pBdr>
          <w:top w:val="nil"/>
          <w:left w:val="nil"/>
          <w:bottom w:val="nil"/>
          <w:right w:val="nil"/>
          <w:between w:val="nil"/>
        </w:pBdr>
        <w:spacing w:line="240" w:lineRule="auto"/>
        <w:jc w:val="both"/>
      </w:pPr>
    </w:p>
    <w:p w14:paraId="0000000D" w14:textId="1F466761" w:rsidR="00773DC3" w:rsidRPr="00A1439E" w:rsidRDefault="00040186">
      <w:pPr>
        <w:pBdr>
          <w:top w:val="nil"/>
          <w:left w:val="nil"/>
          <w:bottom w:val="nil"/>
          <w:right w:val="nil"/>
          <w:between w:val="nil"/>
        </w:pBdr>
        <w:spacing w:line="240" w:lineRule="auto"/>
        <w:jc w:val="both"/>
      </w:pPr>
      <w:r w:rsidRPr="00A1439E">
        <w:t xml:space="preserve">Le constat s’est imposé à tous que la relation client était au </w:t>
      </w:r>
      <w:r w:rsidR="00A1439E" w:rsidRPr="00A1439E">
        <w:t>cœur</w:t>
      </w:r>
      <w:r w:rsidRPr="00A1439E">
        <w:t xml:space="preserve"> de la stratégie des entreprises et que les conditions de son exécution et de son externalisation méritaient d’être </w:t>
      </w:r>
      <w:r w:rsidR="00A1439E" w:rsidRPr="00A1439E">
        <w:t xml:space="preserve">mieux </w:t>
      </w:r>
      <w:r w:rsidRPr="00A1439E">
        <w:t>encadrées</w:t>
      </w:r>
      <w:r w:rsidR="00A1439E">
        <w:t xml:space="preserve"> pour en garantir la performance et la durabilité.</w:t>
      </w:r>
    </w:p>
    <w:p w14:paraId="0000000E" w14:textId="77777777" w:rsidR="00773DC3" w:rsidRDefault="00773DC3">
      <w:pPr>
        <w:pBdr>
          <w:top w:val="nil"/>
          <w:left w:val="nil"/>
          <w:bottom w:val="nil"/>
          <w:right w:val="nil"/>
          <w:between w:val="nil"/>
        </w:pBdr>
        <w:spacing w:line="240" w:lineRule="auto"/>
        <w:jc w:val="both"/>
      </w:pPr>
    </w:p>
    <w:p w14:paraId="0000000F" w14:textId="46846D17" w:rsidR="00773DC3" w:rsidRDefault="00A1439E">
      <w:pPr>
        <w:pBdr>
          <w:top w:val="nil"/>
          <w:left w:val="nil"/>
          <w:bottom w:val="nil"/>
          <w:right w:val="nil"/>
          <w:between w:val="nil"/>
        </w:pBdr>
        <w:spacing w:line="240" w:lineRule="auto"/>
        <w:jc w:val="both"/>
      </w:pPr>
      <w:r>
        <w:t>Cependant, a</w:t>
      </w:r>
      <w:r w:rsidR="00040186">
        <w:t>lors même que les référentiels sur l</w:t>
      </w:r>
      <w:r>
        <w:t>es bonnes pratiques se multiplient</w:t>
      </w:r>
      <w:r w:rsidR="00040186">
        <w:t xml:space="preserve"> et que le caractère stratégique de</w:t>
      </w:r>
      <w:r>
        <w:t xml:space="preserve"> l’externalisation se renforce</w:t>
      </w:r>
      <w:r w:rsidR="00040186">
        <w:t xml:space="preserve"> par la nature m</w:t>
      </w:r>
      <w:r>
        <w:t>ême des missions qui leur sont confiées les p</w:t>
      </w:r>
      <w:r w:rsidR="00040186">
        <w:t>restataires ont vu paradoxalement leur modèle économique se précariser au fil des années</w:t>
      </w:r>
      <w:r w:rsidR="0057264D">
        <w:t>, tout particulièrement pour les activités réalisées en France</w:t>
      </w:r>
      <w:r w:rsidR="00040186">
        <w:t>. Cette dégradation s’explique principalement par le fait que le risque de perte de marché et donc d’ajust</w:t>
      </w:r>
      <w:r w:rsidR="003952FB">
        <w:t>ement pénalisant des effe</w:t>
      </w:r>
      <w:r w:rsidR="000F6348">
        <w:t>ctifs -en coûts et réputation-</w:t>
      </w:r>
      <w:r w:rsidR="003952FB">
        <w:t xml:space="preserve"> a</w:t>
      </w:r>
      <w:r w:rsidR="00040186">
        <w:t xml:space="preserve"> contraint les Prestataires</w:t>
      </w:r>
      <w:r>
        <w:t xml:space="preserve"> à céder à d</w:t>
      </w:r>
      <w:r w:rsidR="00040186">
        <w:t>es exigences</w:t>
      </w:r>
      <w:r w:rsidR="003952FB">
        <w:t xml:space="preserve"> d’achat</w:t>
      </w:r>
      <w:r>
        <w:t xml:space="preserve"> déraisonnables</w:t>
      </w:r>
      <w:r w:rsidR="00040186">
        <w:t>.</w:t>
      </w:r>
    </w:p>
    <w:p w14:paraId="00000010" w14:textId="77777777" w:rsidR="00773DC3" w:rsidRDefault="00773DC3">
      <w:pPr>
        <w:pBdr>
          <w:top w:val="nil"/>
          <w:left w:val="nil"/>
          <w:bottom w:val="nil"/>
          <w:right w:val="nil"/>
          <w:between w:val="nil"/>
        </w:pBdr>
        <w:spacing w:line="240" w:lineRule="auto"/>
        <w:jc w:val="both"/>
      </w:pPr>
    </w:p>
    <w:p w14:paraId="00000011" w14:textId="07960DB8" w:rsidR="00773DC3" w:rsidRDefault="00040186">
      <w:pPr>
        <w:pBdr>
          <w:top w:val="nil"/>
          <w:left w:val="nil"/>
          <w:bottom w:val="nil"/>
          <w:right w:val="nil"/>
          <w:between w:val="nil"/>
        </w:pBdr>
        <w:spacing w:line="240" w:lineRule="auto"/>
        <w:jc w:val="both"/>
      </w:pPr>
      <w:r>
        <w:t xml:space="preserve">C’est dans ce contexte que le </w:t>
      </w:r>
      <w:r w:rsidRPr="000F6348">
        <w:rPr>
          <w:b/>
        </w:rPr>
        <w:t>SP2C</w:t>
      </w:r>
      <w:r>
        <w:t xml:space="preserve"> </w:t>
      </w:r>
      <w:r w:rsidR="00A1439E">
        <w:t xml:space="preserve">a </w:t>
      </w:r>
      <w:r w:rsidR="003952FB">
        <w:t>voulu actualiser les termes</w:t>
      </w:r>
      <w:r w:rsidR="00A1439E">
        <w:t xml:space="preserve"> sa charte de 2015</w:t>
      </w:r>
      <w:r>
        <w:t>, un référentiels commenté des bonnes pratiques que ses membres s’efforceront de promouvoir auprès des parties prenantes.</w:t>
      </w:r>
    </w:p>
    <w:p w14:paraId="72F63BB7" w14:textId="3FDF0208" w:rsidR="00A1439E" w:rsidRDefault="00A1439E">
      <w:pPr>
        <w:pBdr>
          <w:top w:val="nil"/>
          <w:left w:val="nil"/>
          <w:bottom w:val="nil"/>
          <w:right w:val="nil"/>
          <w:between w:val="nil"/>
        </w:pBdr>
        <w:spacing w:line="240" w:lineRule="auto"/>
        <w:jc w:val="both"/>
      </w:pPr>
      <w:r>
        <w:t xml:space="preserve">Dans le </w:t>
      </w:r>
      <w:r w:rsidR="003952FB">
        <w:t>même</w:t>
      </w:r>
      <w:r>
        <w:t xml:space="preserve"> esprit, le </w:t>
      </w:r>
      <w:r w:rsidRPr="000F6348">
        <w:rPr>
          <w:b/>
        </w:rPr>
        <w:t>SP2C</w:t>
      </w:r>
      <w:r>
        <w:t xml:space="preserve"> et ses adhérents sont signataires </w:t>
      </w:r>
      <w:r w:rsidR="003952FB">
        <w:t xml:space="preserve">depuis 2018 de la </w:t>
      </w:r>
      <w:r w:rsidR="003952FB" w:rsidRPr="000F6348">
        <w:rPr>
          <w:b/>
        </w:rPr>
        <w:t>C</w:t>
      </w:r>
      <w:r w:rsidRPr="000F6348">
        <w:rPr>
          <w:b/>
        </w:rPr>
        <w:t>harte</w:t>
      </w:r>
      <w:r w:rsidR="003952FB" w:rsidRPr="000F6348">
        <w:rPr>
          <w:b/>
        </w:rPr>
        <w:t xml:space="preserve"> Relation Fournisseurs Responsables</w:t>
      </w:r>
      <w:r>
        <w:t xml:space="preserve"> sous l’égide</w:t>
      </w:r>
      <w:r w:rsidR="003952FB">
        <w:t xml:space="preserve"> du Médiateur des Entreprises et du Conseil National des Achats</w:t>
      </w:r>
      <w:r>
        <w:t>.</w:t>
      </w:r>
    </w:p>
    <w:p w14:paraId="00000012" w14:textId="77777777" w:rsidR="00773DC3" w:rsidRDefault="00773DC3">
      <w:pPr>
        <w:pBdr>
          <w:top w:val="nil"/>
          <w:left w:val="nil"/>
          <w:bottom w:val="nil"/>
          <w:right w:val="nil"/>
          <w:between w:val="nil"/>
        </w:pBdr>
        <w:spacing w:line="240" w:lineRule="auto"/>
        <w:jc w:val="both"/>
      </w:pPr>
    </w:p>
    <w:p w14:paraId="36BDF3ED" w14:textId="2A8B11D4" w:rsidR="003952FB" w:rsidRDefault="003952FB">
      <w:pPr>
        <w:pBdr>
          <w:top w:val="nil"/>
          <w:left w:val="nil"/>
          <w:bottom w:val="nil"/>
          <w:right w:val="nil"/>
          <w:between w:val="nil"/>
        </w:pBdr>
        <w:spacing w:line="240" w:lineRule="auto"/>
        <w:jc w:val="both"/>
      </w:pPr>
    </w:p>
    <w:p w14:paraId="3437CC9B" w14:textId="07C298EF" w:rsidR="005A5537" w:rsidRDefault="005A5537">
      <w:r>
        <w:br w:type="page"/>
      </w:r>
    </w:p>
    <w:p w14:paraId="0A7EA31A" w14:textId="77777777" w:rsidR="005A5537" w:rsidRDefault="005A5537"/>
    <w:p w14:paraId="2A9C8735" w14:textId="77777777" w:rsidR="00801B44" w:rsidRDefault="00801B44" w:rsidP="00801B44">
      <w:pPr>
        <w:shd w:val="clear" w:color="auto" w:fill="D9D9D9" w:themeFill="background1" w:themeFillShade="D9"/>
        <w:jc w:val="center"/>
        <w:rPr>
          <w:b/>
          <w:bCs/>
          <w:sz w:val="24"/>
          <w:szCs w:val="24"/>
        </w:rPr>
      </w:pPr>
    </w:p>
    <w:p w14:paraId="743908D9" w14:textId="62E5F2B2" w:rsidR="005A5537" w:rsidRPr="00801B44" w:rsidRDefault="005A5537" w:rsidP="00801B44">
      <w:pPr>
        <w:shd w:val="clear" w:color="auto" w:fill="D9D9D9" w:themeFill="background1" w:themeFillShade="D9"/>
        <w:jc w:val="center"/>
        <w:rPr>
          <w:b/>
          <w:bCs/>
          <w:sz w:val="24"/>
          <w:szCs w:val="24"/>
        </w:rPr>
      </w:pPr>
      <w:r w:rsidRPr="00801B44">
        <w:rPr>
          <w:b/>
          <w:bCs/>
          <w:sz w:val="24"/>
          <w:szCs w:val="24"/>
        </w:rPr>
        <w:t>Le secteur de la Relation Client à distance Externalisée mobilisé</w:t>
      </w:r>
    </w:p>
    <w:p w14:paraId="4B15562E" w14:textId="77777777" w:rsidR="005A5537" w:rsidRPr="00801B44" w:rsidRDefault="005A5537" w:rsidP="00801B44">
      <w:pPr>
        <w:shd w:val="clear" w:color="auto" w:fill="D9D9D9" w:themeFill="background1" w:themeFillShade="D9"/>
        <w:jc w:val="center"/>
        <w:rPr>
          <w:b/>
          <w:bCs/>
          <w:sz w:val="24"/>
          <w:szCs w:val="24"/>
        </w:rPr>
      </w:pPr>
      <w:proofErr w:type="gramStart"/>
      <w:r w:rsidRPr="00801B44">
        <w:rPr>
          <w:b/>
          <w:bCs/>
          <w:sz w:val="24"/>
          <w:szCs w:val="24"/>
        </w:rPr>
        <w:t>pour</w:t>
      </w:r>
      <w:proofErr w:type="gramEnd"/>
      <w:r w:rsidRPr="00801B44">
        <w:rPr>
          <w:b/>
          <w:bCs/>
          <w:sz w:val="24"/>
          <w:szCs w:val="24"/>
        </w:rPr>
        <w:t xml:space="preserve"> accompagner la gestion de la crise sanitaire</w:t>
      </w:r>
    </w:p>
    <w:p w14:paraId="0C980B8A" w14:textId="77777777" w:rsidR="005A5537" w:rsidRPr="00801B44" w:rsidRDefault="005A5537" w:rsidP="00801B44">
      <w:pPr>
        <w:shd w:val="clear" w:color="auto" w:fill="D9D9D9" w:themeFill="background1" w:themeFillShade="D9"/>
        <w:jc w:val="center"/>
        <w:rPr>
          <w:b/>
          <w:bCs/>
          <w:sz w:val="24"/>
          <w:szCs w:val="24"/>
        </w:rPr>
      </w:pPr>
    </w:p>
    <w:p w14:paraId="3FFF6508" w14:textId="77777777" w:rsidR="005A5537" w:rsidRPr="00801B44" w:rsidRDefault="005A5537" w:rsidP="00801B44">
      <w:pPr>
        <w:shd w:val="clear" w:color="auto" w:fill="D9D9D9" w:themeFill="background1" w:themeFillShade="D9"/>
        <w:jc w:val="both"/>
      </w:pPr>
      <w:r w:rsidRPr="00801B44">
        <w:t xml:space="preserve">Le Gouvernement a édicté des mesures de restriction claires devant être strictement respectées qui ont démontré leur efficacité sur l’endiguement de la pandémie, et permettant néanmoins la poursuite de l’activité économique. </w:t>
      </w:r>
    </w:p>
    <w:p w14:paraId="6EBD8D16" w14:textId="78DA856B" w:rsidR="005A5537" w:rsidRPr="00801B44" w:rsidRDefault="005A5537" w:rsidP="00801B44">
      <w:pPr>
        <w:shd w:val="clear" w:color="auto" w:fill="D9D9D9" w:themeFill="background1" w:themeFillShade="D9"/>
        <w:jc w:val="both"/>
      </w:pPr>
    </w:p>
    <w:p w14:paraId="723D4098" w14:textId="371EEBAF" w:rsidR="005A5537" w:rsidRPr="00801B44" w:rsidRDefault="005A5537" w:rsidP="00801B44">
      <w:pPr>
        <w:shd w:val="clear" w:color="auto" w:fill="D9D9D9" w:themeFill="background1" w:themeFillShade="D9"/>
        <w:jc w:val="both"/>
      </w:pPr>
      <w:r w:rsidRPr="00801B44">
        <w:t>Le mercredi 18 mars 2020, le Ministre de l’Economie et des Finances</w:t>
      </w:r>
      <w:r w:rsidR="00117CF7">
        <w:t>, Bruno Lemaire,</w:t>
      </w:r>
      <w:r w:rsidRPr="00801B44">
        <w:t xml:space="preserve"> a </w:t>
      </w:r>
      <w:r w:rsidR="00117CF7">
        <w:t>ré</w:t>
      </w:r>
      <w:r w:rsidRPr="00801B44">
        <w:t>affirmé </w:t>
      </w:r>
      <w:r w:rsidR="00117CF7">
        <w:t xml:space="preserve">la nécessaire solidarité économique nationale </w:t>
      </w:r>
      <w:r w:rsidRPr="00801B44">
        <w:t>: « </w:t>
      </w:r>
      <w:r w:rsidRPr="00801B44">
        <w:t>J’invite tous les salariés des entreprises qui sont encore ouvertes, des activités qui sont indispensables au fonctionnement du pays, à se rendre sur leurs lieux de travail (…) dans des conditions de sécurité sanitaire maximales"</w:t>
      </w:r>
      <w:r w:rsidRPr="00801B44">
        <w:t>.</w:t>
      </w:r>
    </w:p>
    <w:p w14:paraId="67BDF34D" w14:textId="7D2BC4A9" w:rsidR="005A5537" w:rsidRPr="00801B44" w:rsidRDefault="005A5537" w:rsidP="00801B44">
      <w:pPr>
        <w:shd w:val="clear" w:color="auto" w:fill="D9D9D9" w:themeFill="background1" w:themeFillShade="D9"/>
        <w:jc w:val="both"/>
      </w:pPr>
    </w:p>
    <w:p w14:paraId="784DEE89" w14:textId="77777777" w:rsidR="005A5537" w:rsidRPr="00801B44" w:rsidRDefault="005A5537" w:rsidP="00801B44">
      <w:pPr>
        <w:shd w:val="clear" w:color="auto" w:fill="D9D9D9" w:themeFill="background1" w:themeFillShade="D9"/>
        <w:jc w:val="both"/>
      </w:pPr>
      <w:r w:rsidRPr="00801B44">
        <w:t xml:space="preserve">La Filière de la Relation Client à distance Externalisée accompagne par son essence même les mesures de distanciation sociale, tout en préservant les relations de service et d’assistance client nécessaires à l’économie, notamment en contribuant à la poursuite de l’activité des secteurs essentiels pour la Nation : Santé, Energie, </w:t>
      </w:r>
      <w:proofErr w:type="spellStart"/>
      <w:r w:rsidRPr="00801B44">
        <w:t>Telecommunications</w:t>
      </w:r>
      <w:proofErr w:type="spellEnd"/>
      <w:r w:rsidRPr="00801B44">
        <w:t xml:space="preserve">, Assurances, Etablissements financiers et bancaires… </w:t>
      </w:r>
    </w:p>
    <w:p w14:paraId="1324729F" w14:textId="77777777" w:rsidR="005A5537" w:rsidRPr="00801B44" w:rsidRDefault="005A5537" w:rsidP="00801B44">
      <w:pPr>
        <w:shd w:val="clear" w:color="auto" w:fill="D9D9D9" w:themeFill="background1" w:themeFillShade="D9"/>
        <w:jc w:val="both"/>
      </w:pPr>
    </w:p>
    <w:p w14:paraId="2A48FAE9" w14:textId="77777777" w:rsidR="005A5537" w:rsidRPr="00801B44" w:rsidRDefault="005A5537" w:rsidP="00801B44">
      <w:pPr>
        <w:shd w:val="clear" w:color="auto" w:fill="D9D9D9" w:themeFill="background1" w:themeFillShade="D9"/>
        <w:jc w:val="both"/>
      </w:pPr>
    </w:p>
    <w:p w14:paraId="4CCE7A9C" w14:textId="085A508C" w:rsidR="005A5537" w:rsidRPr="00801B44" w:rsidRDefault="005A5537" w:rsidP="00801B44">
      <w:pPr>
        <w:shd w:val="clear" w:color="auto" w:fill="D9D9D9" w:themeFill="background1" w:themeFillShade="D9"/>
        <w:jc w:val="both"/>
        <w:rPr>
          <w:b/>
          <w:bCs/>
        </w:rPr>
      </w:pPr>
      <w:r w:rsidRPr="00801B44">
        <w:rPr>
          <w:b/>
          <w:bCs/>
        </w:rPr>
        <w:t>Le SP2C remercie les salariés des entreprises de Relation Client à distance Externalisée.</w:t>
      </w:r>
    </w:p>
    <w:p w14:paraId="284294D4" w14:textId="5AB28AA9" w:rsidR="005A5537" w:rsidRPr="00801B44" w:rsidRDefault="005A5537" w:rsidP="00801B44">
      <w:pPr>
        <w:shd w:val="clear" w:color="auto" w:fill="D9D9D9" w:themeFill="background1" w:themeFillShade="D9"/>
        <w:jc w:val="both"/>
      </w:pPr>
      <w:r w:rsidRPr="00801B44">
        <w:t>A l’image de leur travail pour le numéro vert du Gouvernement pour les questions non médicales relatives au Coronavirus, les salariés des centres de contact restent au service du Grand Public et des entreprises. Ils contribuent activement à la distanciation sociale : par leur intermédiaire, il y a maintien des contacts entre le public et les entreprises.</w:t>
      </w:r>
    </w:p>
    <w:p w14:paraId="0E7E5455" w14:textId="77777777" w:rsidR="003D7B74" w:rsidRPr="00801B44" w:rsidRDefault="003D7B74" w:rsidP="00801B44">
      <w:pPr>
        <w:shd w:val="clear" w:color="auto" w:fill="D9D9D9" w:themeFill="background1" w:themeFillShade="D9"/>
        <w:jc w:val="both"/>
      </w:pPr>
    </w:p>
    <w:p w14:paraId="1D5460E9" w14:textId="77777777" w:rsidR="005A5537" w:rsidRPr="00801B44" w:rsidRDefault="005A5537" w:rsidP="00801B44">
      <w:pPr>
        <w:shd w:val="clear" w:color="auto" w:fill="D9D9D9" w:themeFill="background1" w:themeFillShade="D9"/>
        <w:jc w:val="both"/>
        <w:rPr>
          <w:i/>
          <w:iCs/>
          <w:color w:val="000000" w:themeColor="text1"/>
        </w:rPr>
      </w:pPr>
      <w:r w:rsidRPr="00801B44">
        <w:rPr>
          <w:i/>
          <w:iCs/>
          <w:color w:val="000000" w:themeColor="text1"/>
        </w:rPr>
        <w:t xml:space="preserve">Aussi, leur sécurité et bien-être sont prioritaires, et nous mettons à disposition des Professionnels du secteur un guide (disponible sur le site </w:t>
      </w:r>
      <w:hyperlink r:id="rId8" w:history="1">
        <w:r w:rsidRPr="00801B44">
          <w:rPr>
            <w:rStyle w:val="Lienhypertexte"/>
            <w:i/>
            <w:iCs/>
            <w:color w:val="000000" w:themeColor="text1"/>
          </w:rPr>
          <w:t>www.sp2c.org</w:t>
        </w:r>
      </w:hyperlink>
      <w:r w:rsidRPr="00801B44">
        <w:rPr>
          <w:i/>
          <w:iCs/>
          <w:color w:val="000000" w:themeColor="text1"/>
        </w:rPr>
        <w:t>) recensant les bonnes pratiques spécifiques à appliquer que nous actualisons dès que nécessaire.</w:t>
      </w:r>
    </w:p>
    <w:p w14:paraId="49168098" w14:textId="4B44F58F" w:rsidR="005A5537" w:rsidRPr="00801B44" w:rsidRDefault="005A5537" w:rsidP="00801B44">
      <w:pPr>
        <w:shd w:val="clear" w:color="auto" w:fill="D9D9D9" w:themeFill="background1" w:themeFillShade="D9"/>
        <w:jc w:val="both"/>
      </w:pPr>
    </w:p>
    <w:p w14:paraId="2F8D57C6" w14:textId="77777777" w:rsidR="003D7B74" w:rsidRPr="00801B44" w:rsidRDefault="003D7B74" w:rsidP="00801B44">
      <w:pPr>
        <w:shd w:val="clear" w:color="auto" w:fill="D9D9D9" w:themeFill="background1" w:themeFillShade="D9"/>
        <w:jc w:val="both"/>
      </w:pPr>
    </w:p>
    <w:p w14:paraId="7F5018AA" w14:textId="77777777" w:rsidR="005A5537" w:rsidRPr="00801B44" w:rsidRDefault="005A5537" w:rsidP="00801B44">
      <w:pPr>
        <w:shd w:val="clear" w:color="auto" w:fill="D9D9D9" w:themeFill="background1" w:themeFillShade="D9"/>
        <w:jc w:val="both"/>
        <w:rPr>
          <w:b/>
          <w:bCs/>
        </w:rPr>
      </w:pPr>
      <w:r w:rsidRPr="00801B44">
        <w:rPr>
          <w:b/>
          <w:bCs/>
        </w:rPr>
        <w:t>Le SP2C prend acte de la contribution des représentants du personnel au déploiement des mesures sanitaires sur nos sites.</w:t>
      </w:r>
    </w:p>
    <w:p w14:paraId="3ECF1C9B" w14:textId="1F75F9AD" w:rsidR="005A5537" w:rsidRPr="00801B44" w:rsidRDefault="005A5537" w:rsidP="00801B44">
      <w:pPr>
        <w:shd w:val="clear" w:color="auto" w:fill="D9D9D9" w:themeFill="background1" w:themeFillShade="D9"/>
        <w:jc w:val="both"/>
      </w:pPr>
      <w:r w:rsidRPr="00801B44">
        <w:t xml:space="preserve">Aussi souvent et régulièrement que possible, les Directions d’entreprise se concertent avec les représentants des salariés pour adapter au quotidien les mesures sanitaires définies par les pouvoirs publics. </w:t>
      </w:r>
    </w:p>
    <w:p w14:paraId="0BF82F8D" w14:textId="77777777" w:rsidR="003D7B74" w:rsidRPr="00801B44" w:rsidRDefault="003D7B74" w:rsidP="00801B44">
      <w:pPr>
        <w:shd w:val="clear" w:color="auto" w:fill="D9D9D9" w:themeFill="background1" w:themeFillShade="D9"/>
        <w:jc w:val="both"/>
      </w:pPr>
    </w:p>
    <w:p w14:paraId="2A89410C" w14:textId="77777777" w:rsidR="005A5537" w:rsidRPr="00801B44" w:rsidRDefault="005A5537" w:rsidP="00801B44">
      <w:pPr>
        <w:shd w:val="clear" w:color="auto" w:fill="D9D9D9" w:themeFill="background1" w:themeFillShade="D9"/>
        <w:jc w:val="both"/>
        <w:rPr>
          <w:i/>
          <w:iCs/>
          <w:color w:val="000000" w:themeColor="text1"/>
        </w:rPr>
      </w:pPr>
      <w:r w:rsidRPr="00801B44">
        <w:rPr>
          <w:i/>
          <w:iCs/>
          <w:color w:val="000000" w:themeColor="text1"/>
        </w:rPr>
        <w:t>Aussi, le SP2C est en contact permanent avec les Organisations Syndicales représentatives de la Branche pour le suivi de la gestion de cette crise.</w:t>
      </w:r>
    </w:p>
    <w:p w14:paraId="6E9141EC" w14:textId="77777777" w:rsidR="005A5537" w:rsidRPr="00801B44" w:rsidRDefault="005A5537" w:rsidP="00801B44">
      <w:pPr>
        <w:shd w:val="clear" w:color="auto" w:fill="D9D9D9" w:themeFill="background1" w:themeFillShade="D9"/>
        <w:jc w:val="both"/>
      </w:pPr>
    </w:p>
    <w:p w14:paraId="559AEF66" w14:textId="77777777" w:rsidR="005A5537" w:rsidRPr="00801B44" w:rsidRDefault="005A5537" w:rsidP="00801B44">
      <w:pPr>
        <w:shd w:val="clear" w:color="auto" w:fill="D9D9D9" w:themeFill="background1" w:themeFillShade="D9"/>
        <w:jc w:val="both"/>
      </w:pPr>
    </w:p>
    <w:p w14:paraId="0A7DF006" w14:textId="5C6D2530" w:rsidR="005A5537" w:rsidRPr="00801B44" w:rsidRDefault="005A5537" w:rsidP="00801B44">
      <w:pPr>
        <w:shd w:val="clear" w:color="auto" w:fill="D9D9D9" w:themeFill="background1" w:themeFillShade="D9"/>
        <w:jc w:val="both"/>
        <w:rPr>
          <w:b/>
          <w:bCs/>
        </w:rPr>
      </w:pPr>
      <w:r w:rsidRPr="00801B44">
        <w:rPr>
          <w:b/>
          <w:bCs/>
        </w:rPr>
        <w:t>Le SP2C soutient ses adhérents, composés de Chefs d’entreprise responsables et engagés.</w:t>
      </w:r>
    </w:p>
    <w:p w14:paraId="62388F9B" w14:textId="77777777" w:rsidR="003D7B74" w:rsidRPr="00801B44" w:rsidRDefault="003D7B74" w:rsidP="00801B44">
      <w:pPr>
        <w:shd w:val="clear" w:color="auto" w:fill="D9D9D9" w:themeFill="background1" w:themeFillShade="D9"/>
        <w:jc w:val="both"/>
        <w:rPr>
          <w:b/>
          <w:bCs/>
        </w:rPr>
      </w:pPr>
    </w:p>
    <w:p w14:paraId="1C6DCCF4" w14:textId="2EEA201A" w:rsidR="005A5537" w:rsidRPr="00801B44" w:rsidRDefault="005A5537" w:rsidP="00801B44">
      <w:pPr>
        <w:shd w:val="clear" w:color="auto" w:fill="D9D9D9" w:themeFill="background1" w:themeFillShade="D9"/>
        <w:jc w:val="both"/>
      </w:pPr>
      <w:r w:rsidRPr="00801B44">
        <w:t>Dans cette situation inédite de crise sanitaire, les membres du SP2C prennent toutes leurs décisions au regard des directives des Pouvoirs Publics. Ils mettent tout en œuvre pour pouvoir assurer dans les meilleurs délais possibles, les conditions de sécurité nécessaires et adaptées sur leurs sites et développer les dispositifs adéquats pour maintenir leurs activités et pérenniser ainsi leurs emplois. Ainsi, dans la mesure des possibilités techniques et de sécurité, se déploie le télétravail pour les activités qui le permettent.</w:t>
      </w:r>
    </w:p>
    <w:p w14:paraId="66DE4369" w14:textId="77777777" w:rsidR="003D7B74" w:rsidRPr="00801B44" w:rsidRDefault="003D7B74" w:rsidP="00801B44">
      <w:pPr>
        <w:shd w:val="clear" w:color="auto" w:fill="D9D9D9" w:themeFill="background1" w:themeFillShade="D9"/>
        <w:jc w:val="both"/>
      </w:pPr>
    </w:p>
    <w:p w14:paraId="4C5CEB36" w14:textId="6E85CDC9" w:rsidR="00B16B9F" w:rsidRDefault="005A5537" w:rsidP="00801B44">
      <w:pPr>
        <w:shd w:val="clear" w:color="auto" w:fill="D9D9D9" w:themeFill="background1" w:themeFillShade="D9"/>
        <w:jc w:val="both"/>
        <w:rPr>
          <w:i/>
          <w:iCs/>
          <w:color w:val="000000" w:themeColor="text1"/>
        </w:rPr>
      </w:pPr>
      <w:r w:rsidRPr="00801B44">
        <w:rPr>
          <w:i/>
          <w:iCs/>
          <w:color w:val="000000" w:themeColor="text1"/>
        </w:rPr>
        <w:t>Aussi, le SP2C lance un appel à la solidarité aux Donneurs d’Ordre du secteur pour faciliter ces dispositifs, en acceptant des conditions contractuelles et de sécurité technique dégradées au vu des circonstances exceptionnelles qui touchent la Nation. Le SP2C a ainsi adapté en ce sens et avec le soutien de la Médiation des Entreprises sa Charte des « Recommandations et bonnes pratiques pour une relation client externalisée durable et responsable ».</w:t>
      </w:r>
    </w:p>
    <w:p w14:paraId="1E349933" w14:textId="77777777" w:rsidR="00801B44" w:rsidRPr="00801B44" w:rsidRDefault="00801B44" w:rsidP="00801B44">
      <w:pPr>
        <w:shd w:val="clear" w:color="auto" w:fill="D9D9D9" w:themeFill="background1" w:themeFillShade="D9"/>
        <w:jc w:val="both"/>
        <w:rPr>
          <w:i/>
          <w:iCs/>
          <w:color w:val="000000" w:themeColor="text1"/>
        </w:rPr>
      </w:pPr>
    </w:p>
    <w:p w14:paraId="4F71BD6C" w14:textId="1A6FC172" w:rsidR="005A5537" w:rsidRPr="00801B44" w:rsidRDefault="005A5537" w:rsidP="00801B44">
      <w:pPr>
        <w:jc w:val="both"/>
      </w:pPr>
      <w:r w:rsidRPr="00801B44">
        <w:br w:type="page"/>
      </w:r>
    </w:p>
    <w:p w14:paraId="680F432E" w14:textId="77777777" w:rsidR="00EB53FD" w:rsidRPr="00117CF7" w:rsidRDefault="00EB53FD" w:rsidP="00EB53FD">
      <w:pPr>
        <w:pStyle w:val="Paragraphedeliste"/>
        <w:pBdr>
          <w:top w:val="nil"/>
          <w:left w:val="nil"/>
          <w:bottom w:val="nil"/>
          <w:right w:val="nil"/>
          <w:between w:val="nil"/>
        </w:pBdr>
        <w:spacing w:line="240" w:lineRule="auto"/>
        <w:jc w:val="both"/>
        <w:rPr>
          <w:b/>
          <w:color w:val="244061" w:themeColor="accent1" w:themeShade="80"/>
        </w:rPr>
      </w:pPr>
    </w:p>
    <w:p w14:paraId="00000015" w14:textId="5D0370E7" w:rsidR="00773DC3" w:rsidRPr="00624037" w:rsidRDefault="00040186" w:rsidP="00624037">
      <w:pPr>
        <w:pStyle w:val="Paragraphedeliste"/>
        <w:numPr>
          <w:ilvl w:val="0"/>
          <w:numId w:val="6"/>
        </w:numPr>
        <w:pBdr>
          <w:top w:val="nil"/>
          <w:left w:val="nil"/>
          <w:bottom w:val="nil"/>
          <w:right w:val="nil"/>
          <w:between w:val="nil"/>
        </w:pBdr>
        <w:spacing w:line="240" w:lineRule="auto"/>
        <w:jc w:val="both"/>
        <w:rPr>
          <w:b/>
          <w:color w:val="244061" w:themeColor="accent1" w:themeShade="80"/>
          <w:sz w:val="36"/>
          <w:szCs w:val="36"/>
        </w:rPr>
      </w:pPr>
      <w:r w:rsidRPr="00624037">
        <w:rPr>
          <w:b/>
          <w:color w:val="244061" w:themeColor="accent1" w:themeShade="80"/>
          <w:sz w:val="36"/>
          <w:szCs w:val="36"/>
        </w:rPr>
        <w:t>Prévision</w:t>
      </w:r>
      <w:r w:rsidR="00430FED">
        <w:rPr>
          <w:b/>
          <w:color w:val="244061" w:themeColor="accent1" w:themeShade="80"/>
          <w:sz w:val="36"/>
          <w:szCs w:val="36"/>
        </w:rPr>
        <w:t>s</w:t>
      </w:r>
      <w:r w:rsidRPr="00624037">
        <w:rPr>
          <w:b/>
          <w:color w:val="244061" w:themeColor="accent1" w:themeShade="80"/>
          <w:sz w:val="36"/>
          <w:szCs w:val="36"/>
        </w:rPr>
        <w:t xml:space="preserve"> d’activité et minimum de facturation</w:t>
      </w:r>
    </w:p>
    <w:p w14:paraId="786546AC" w14:textId="77777777" w:rsidR="00331E7C" w:rsidRDefault="00331E7C">
      <w:pPr>
        <w:pBdr>
          <w:top w:val="nil"/>
          <w:left w:val="nil"/>
          <w:bottom w:val="nil"/>
          <w:right w:val="nil"/>
          <w:between w:val="nil"/>
        </w:pBdr>
        <w:spacing w:line="240" w:lineRule="auto"/>
        <w:jc w:val="both"/>
        <w:rPr>
          <w:b/>
          <w:color w:val="33339B"/>
          <w:sz w:val="36"/>
          <w:szCs w:val="36"/>
        </w:rPr>
      </w:pPr>
    </w:p>
    <w:p w14:paraId="60552A32" w14:textId="3065CA80" w:rsidR="00331E7C" w:rsidRPr="00331E7C" w:rsidRDefault="00331E7C">
      <w:pPr>
        <w:pBdr>
          <w:top w:val="nil"/>
          <w:left w:val="nil"/>
          <w:bottom w:val="nil"/>
          <w:right w:val="nil"/>
          <w:between w:val="nil"/>
        </w:pBdr>
        <w:spacing w:line="240" w:lineRule="auto"/>
        <w:jc w:val="both"/>
        <w:rPr>
          <w:b/>
          <w:color w:val="244061" w:themeColor="accent1" w:themeShade="80"/>
          <w:sz w:val="28"/>
          <w:szCs w:val="36"/>
        </w:rPr>
      </w:pPr>
      <w:r w:rsidRPr="00331E7C">
        <w:rPr>
          <w:b/>
          <w:color w:val="244061" w:themeColor="accent1" w:themeShade="80"/>
          <w:sz w:val="28"/>
          <w:szCs w:val="36"/>
        </w:rPr>
        <w:t>Principe :</w:t>
      </w:r>
    </w:p>
    <w:p w14:paraId="00000016" w14:textId="77777777" w:rsidR="00773DC3" w:rsidRDefault="00773DC3">
      <w:pPr>
        <w:pBdr>
          <w:top w:val="nil"/>
          <w:left w:val="nil"/>
          <w:bottom w:val="nil"/>
          <w:right w:val="nil"/>
          <w:between w:val="nil"/>
        </w:pBdr>
        <w:spacing w:line="240" w:lineRule="auto"/>
        <w:jc w:val="both"/>
        <w:rPr>
          <w:b/>
        </w:rPr>
      </w:pPr>
    </w:p>
    <w:p w14:paraId="00000017" w14:textId="03F01EA0" w:rsidR="00773DC3" w:rsidRDefault="00040186">
      <w:pPr>
        <w:pBdr>
          <w:top w:val="nil"/>
          <w:left w:val="nil"/>
          <w:bottom w:val="nil"/>
          <w:right w:val="nil"/>
          <w:between w:val="nil"/>
        </w:pBdr>
        <w:spacing w:line="240" w:lineRule="auto"/>
        <w:ind w:left="540"/>
        <w:jc w:val="both"/>
      </w:pPr>
      <w:r>
        <w:t xml:space="preserve">Il appartient au </w:t>
      </w:r>
      <w:r w:rsidR="0023008B">
        <w:t>donneur d’ordre</w:t>
      </w:r>
      <w:r>
        <w:t xml:space="preserve"> en fonction du niveau de qualité qu’il souhaite délivrer à ses clients</w:t>
      </w:r>
      <w:r w:rsidR="009B2492">
        <w:t>, de son pilotage budgétaire</w:t>
      </w:r>
      <w:r>
        <w:t xml:space="preserve"> mais aussi de son actualité marketing / sectorielle / conc</w:t>
      </w:r>
      <w:r w:rsidR="00AE0633">
        <w:t>urrentielle de communiquer au p</w:t>
      </w:r>
      <w:r w:rsidR="00331E7C">
        <w:t>restataire</w:t>
      </w:r>
      <w:r>
        <w:t xml:space="preserve"> les flux sur lesquels </w:t>
      </w:r>
      <w:r w:rsidR="00331E7C">
        <w:t>il doit</w:t>
      </w:r>
      <w:r>
        <w:t xml:space="preserve"> s’engager.</w:t>
      </w:r>
    </w:p>
    <w:p w14:paraId="00000019" w14:textId="629BF371" w:rsidR="00773DC3" w:rsidRDefault="00040186">
      <w:pPr>
        <w:pBdr>
          <w:top w:val="nil"/>
          <w:left w:val="nil"/>
          <w:bottom w:val="nil"/>
          <w:right w:val="nil"/>
          <w:between w:val="nil"/>
        </w:pBdr>
        <w:spacing w:line="240" w:lineRule="auto"/>
        <w:ind w:left="540"/>
        <w:jc w:val="both"/>
      </w:pPr>
      <w:r>
        <w:t xml:space="preserve">Ce dernier </w:t>
      </w:r>
      <w:r w:rsidR="00AE0633">
        <w:t>mobilis</w:t>
      </w:r>
      <w:r w:rsidR="00331E7C">
        <w:t>e alors</w:t>
      </w:r>
      <w:r>
        <w:t xml:space="preserve"> les ressources nécessaires à la </w:t>
      </w:r>
      <w:r w:rsidR="00827AE9">
        <w:t>tenue</w:t>
      </w:r>
      <w:r w:rsidR="00331E7C">
        <w:t xml:space="preserve"> de son engagement</w:t>
      </w:r>
      <w:r w:rsidR="003E2D05">
        <w:t xml:space="preserve"> contractuel</w:t>
      </w:r>
      <w:r>
        <w:t>.</w:t>
      </w:r>
    </w:p>
    <w:p w14:paraId="0000001B" w14:textId="6159EF4F" w:rsidR="00773DC3" w:rsidRDefault="00040186">
      <w:pPr>
        <w:pBdr>
          <w:top w:val="nil"/>
          <w:left w:val="nil"/>
          <w:bottom w:val="nil"/>
          <w:right w:val="nil"/>
          <w:between w:val="nil"/>
        </w:pBdr>
        <w:spacing w:line="240" w:lineRule="auto"/>
        <w:ind w:left="540"/>
        <w:jc w:val="both"/>
      </w:pPr>
      <w:r>
        <w:t xml:space="preserve">Dès lors la variable d’ajustement d’un défaut de précision de prévision ne peut être l’équilibre économique et/ou </w:t>
      </w:r>
      <w:r w:rsidR="009B2492">
        <w:t>les conditions de travail des</w:t>
      </w:r>
      <w:r>
        <w:t xml:space="preserve"> salariés</w:t>
      </w:r>
      <w:r w:rsidR="003E2D05">
        <w:t xml:space="preserve"> du prestatair</w:t>
      </w:r>
      <w:r w:rsidR="000F6348">
        <w:t>e</w:t>
      </w:r>
      <w:r>
        <w:t>.</w:t>
      </w:r>
    </w:p>
    <w:p w14:paraId="0000001C" w14:textId="77777777" w:rsidR="00773DC3" w:rsidRDefault="00773DC3">
      <w:pPr>
        <w:pBdr>
          <w:top w:val="nil"/>
          <w:left w:val="nil"/>
          <w:bottom w:val="nil"/>
          <w:right w:val="nil"/>
          <w:between w:val="nil"/>
        </w:pBdr>
        <w:spacing w:line="240" w:lineRule="auto"/>
        <w:jc w:val="both"/>
        <w:rPr>
          <w:b/>
        </w:rPr>
      </w:pPr>
    </w:p>
    <w:p w14:paraId="224E1900" w14:textId="77777777" w:rsidR="007C2C67" w:rsidRDefault="007C2C67">
      <w:pPr>
        <w:pBdr>
          <w:top w:val="nil"/>
          <w:left w:val="nil"/>
          <w:bottom w:val="nil"/>
          <w:right w:val="nil"/>
          <w:between w:val="nil"/>
        </w:pBdr>
        <w:spacing w:line="240" w:lineRule="auto"/>
        <w:jc w:val="both"/>
        <w:rPr>
          <w:b/>
          <w:color w:val="244061" w:themeColor="accent1" w:themeShade="80"/>
          <w:sz w:val="28"/>
          <w:szCs w:val="28"/>
        </w:rPr>
      </w:pPr>
    </w:p>
    <w:p w14:paraId="0000001D" w14:textId="77777777" w:rsidR="00773DC3" w:rsidRPr="00331E7C" w:rsidRDefault="00040186">
      <w:pPr>
        <w:pBdr>
          <w:top w:val="nil"/>
          <w:left w:val="nil"/>
          <w:bottom w:val="nil"/>
          <w:right w:val="nil"/>
          <w:between w:val="nil"/>
        </w:pBdr>
        <w:spacing w:line="240" w:lineRule="auto"/>
        <w:jc w:val="both"/>
        <w:rPr>
          <w:b/>
          <w:color w:val="244061" w:themeColor="accent1" w:themeShade="80"/>
          <w:sz w:val="28"/>
          <w:szCs w:val="28"/>
        </w:rPr>
      </w:pPr>
      <w:r w:rsidRPr="00331E7C">
        <w:rPr>
          <w:b/>
          <w:color w:val="244061" w:themeColor="accent1" w:themeShade="80"/>
          <w:sz w:val="28"/>
          <w:szCs w:val="28"/>
        </w:rPr>
        <w:t>Recommandations &amp; Pratiques responsables :</w:t>
      </w:r>
    </w:p>
    <w:p w14:paraId="0000001E" w14:textId="77777777" w:rsidR="00773DC3" w:rsidRDefault="00773DC3">
      <w:pPr>
        <w:pBdr>
          <w:top w:val="nil"/>
          <w:left w:val="nil"/>
          <w:bottom w:val="nil"/>
          <w:right w:val="nil"/>
          <w:between w:val="nil"/>
        </w:pBdr>
        <w:spacing w:line="240" w:lineRule="auto"/>
        <w:jc w:val="both"/>
        <w:rPr>
          <w:b/>
        </w:rPr>
      </w:pPr>
    </w:p>
    <w:p w14:paraId="00000020" w14:textId="77777777" w:rsidR="00773DC3" w:rsidRDefault="00773DC3">
      <w:pPr>
        <w:pBdr>
          <w:top w:val="nil"/>
          <w:left w:val="nil"/>
          <w:bottom w:val="nil"/>
          <w:right w:val="nil"/>
          <w:between w:val="nil"/>
        </w:pBdr>
        <w:spacing w:line="240" w:lineRule="auto"/>
        <w:ind w:left="540"/>
        <w:jc w:val="both"/>
      </w:pPr>
    </w:p>
    <w:p w14:paraId="00000021" w14:textId="270F00EC" w:rsidR="00773DC3" w:rsidRDefault="00040186">
      <w:pPr>
        <w:pBdr>
          <w:top w:val="nil"/>
          <w:left w:val="nil"/>
          <w:bottom w:val="nil"/>
          <w:right w:val="nil"/>
          <w:between w:val="nil"/>
        </w:pBdr>
        <w:spacing w:line="240" w:lineRule="auto"/>
        <w:ind w:left="540"/>
        <w:jc w:val="both"/>
      </w:pPr>
      <w:r>
        <w:t xml:space="preserve">- </w:t>
      </w:r>
      <w:r w:rsidR="00AE0633">
        <w:t xml:space="preserve">Chaque mois </w:t>
      </w:r>
      <w:r>
        <w:t xml:space="preserve">le </w:t>
      </w:r>
      <w:r w:rsidR="0023008B">
        <w:t>donneur d’ordre</w:t>
      </w:r>
      <w:r>
        <w:t xml:space="preserve"> communique au Prestatai</w:t>
      </w:r>
      <w:r w:rsidR="00AE0633">
        <w:t xml:space="preserve">re les prévisions </w:t>
      </w:r>
      <w:r w:rsidR="001233A1">
        <w:t>mensuelles,</w:t>
      </w:r>
      <w:r w:rsidR="00AE0633">
        <w:t xml:space="preserve"> </w:t>
      </w:r>
      <w:r>
        <w:t xml:space="preserve">hebdomadaires </w:t>
      </w:r>
      <w:r w:rsidR="00AE0633">
        <w:t xml:space="preserve">et journalières </w:t>
      </w:r>
      <w:r>
        <w:t xml:space="preserve">des flux </w:t>
      </w:r>
      <w:r w:rsidR="009E1700">
        <w:t xml:space="preserve">par activités </w:t>
      </w:r>
      <w:r w:rsidR="00AE0633">
        <w:t>pour</w:t>
      </w:r>
      <w:r>
        <w:t xml:space="preserve"> les trois mois à venir,</w:t>
      </w:r>
    </w:p>
    <w:p w14:paraId="00000023" w14:textId="66ACA50D" w:rsidR="00773DC3" w:rsidRDefault="00AE0633">
      <w:pPr>
        <w:pBdr>
          <w:top w:val="nil"/>
          <w:left w:val="nil"/>
          <w:bottom w:val="nil"/>
          <w:right w:val="nil"/>
          <w:between w:val="nil"/>
        </w:pBdr>
        <w:spacing w:line="240" w:lineRule="auto"/>
        <w:ind w:left="540"/>
        <w:jc w:val="both"/>
      </w:pPr>
      <w:r>
        <w:t>- L</w:t>
      </w:r>
      <w:r w:rsidR="00040186">
        <w:t xml:space="preserve">es prévisions du mois M deviennent </w:t>
      </w:r>
      <w:r w:rsidR="00331E7C">
        <w:t xml:space="preserve">mécaniquement </w:t>
      </w:r>
      <w:r w:rsidR="00040186">
        <w:t>contractuelles au plus tard le 10 du mois M-1,</w:t>
      </w:r>
    </w:p>
    <w:p w14:paraId="1FB66E6D" w14:textId="3E778E30" w:rsidR="00AE0633" w:rsidRDefault="00AE0633">
      <w:pPr>
        <w:pBdr>
          <w:top w:val="nil"/>
          <w:left w:val="nil"/>
          <w:bottom w:val="nil"/>
          <w:right w:val="nil"/>
          <w:between w:val="nil"/>
        </w:pBdr>
        <w:spacing w:line="240" w:lineRule="auto"/>
        <w:ind w:left="540"/>
        <w:jc w:val="both"/>
      </w:pPr>
      <w:r>
        <w:t>-</w:t>
      </w:r>
      <w:r w:rsidRPr="00AE0633">
        <w:t xml:space="preserve"> </w:t>
      </w:r>
      <w:r>
        <w:t>les prévisions mensuelles doivent - sauf accord express des parties - évoluer dans un tunnel maximum de +/- 15% d’un mois sur l’autre,</w:t>
      </w:r>
    </w:p>
    <w:p w14:paraId="00000025" w14:textId="4D4F3531" w:rsidR="00773DC3" w:rsidRDefault="00AE0633">
      <w:pPr>
        <w:pBdr>
          <w:top w:val="nil"/>
          <w:left w:val="nil"/>
          <w:bottom w:val="nil"/>
          <w:right w:val="nil"/>
          <w:between w:val="nil"/>
        </w:pBdr>
        <w:spacing w:line="240" w:lineRule="auto"/>
        <w:ind w:left="540"/>
        <w:jc w:val="both"/>
      </w:pPr>
      <w:r>
        <w:t>- Q</w:t>
      </w:r>
      <w:r w:rsidR="00040186">
        <w:t xml:space="preserve">uel que soit le volume réellement présenté en mois M, le </w:t>
      </w:r>
      <w:r w:rsidR="0023008B">
        <w:t>donneur d’ordre</w:t>
      </w:r>
      <w:r w:rsidR="00331E7C">
        <w:t xml:space="preserve"> s’engage à accepter</w:t>
      </w:r>
      <w:r w:rsidR="00040186">
        <w:t xml:space="preserve"> un minimum de facturation correspondant à </w:t>
      </w:r>
      <w:r w:rsidR="000F6348">
        <w:t xml:space="preserve">85 </w:t>
      </w:r>
      <w:r w:rsidR="00040186" w:rsidRPr="001233A1">
        <w:t>%</w:t>
      </w:r>
      <w:r w:rsidR="00040186" w:rsidRPr="009B2492">
        <w:rPr>
          <w:color w:val="FF0000"/>
        </w:rPr>
        <w:t xml:space="preserve"> </w:t>
      </w:r>
      <w:r w:rsidR="00040186">
        <w:t>des prévisi</w:t>
      </w:r>
      <w:r>
        <w:t>ons contractuelles engageantes le 10 du mois N-1.</w:t>
      </w:r>
    </w:p>
    <w:p w14:paraId="7E5D0A1C" w14:textId="5259D6FF" w:rsidR="006A21C9" w:rsidRDefault="006A21C9">
      <w:pPr>
        <w:pBdr>
          <w:top w:val="nil"/>
          <w:left w:val="nil"/>
          <w:bottom w:val="nil"/>
          <w:right w:val="nil"/>
          <w:between w:val="nil"/>
        </w:pBdr>
        <w:spacing w:line="240" w:lineRule="auto"/>
        <w:ind w:left="540"/>
        <w:jc w:val="both"/>
      </w:pPr>
    </w:p>
    <w:p w14:paraId="3042C053" w14:textId="77777777" w:rsidR="00D76136" w:rsidRDefault="00D76136" w:rsidP="00D76136">
      <w:pPr>
        <w:shd w:val="clear" w:color="auto" w:fill="D9D9D9" w:themeFill="background1" w:themeFillShade="D9"/>
        <w:spacing w:line="240" w:lineRule="auto"/>
        <w:jc w:val="both"/>
        <w:rPr>
          <w:b/>
          <w:color w:val="244061" w:themeColor="accent1" w:themeShade="80"/>
          <w:sz w:val="28"/>
          <w:szCs w:val="28"/>
        </w:rPr>
      </w:pPr>
    </w:p>
    <w:p w14:paraId="5B99D42B" w14:textId="0B0BC616" w:rsidR="006A21C9" w:rsidRPr="00D76136" w:rsidRDefault="006A21C9" w:rsidP="00D76136">
      <w:pPr>
        <w:shd w:val="clear" w:color="auto" w:fill="D9D9D9" w:themeFill="background1" w:themeFillShade="D9"/>
        <w:spacing w:line="240" w:lineRule="auto"/>
        <w:jc w:val="both"/>
        <w:rPr>
          <w:b/>
          <w:color w:val="244061" w:themeColor="accent1" w:themeShade="80"/>
          <w:sz w:val="28"/>
          <w:szCs w:val="28"/>
        </w:rPr>
      </w:pPr>
      <w:r w:rsidRPr="00D76136">
        <w:rPr>
          <w:b/>
          <w:color w:val="244061" w:themeColor="accent1" w:themeShade="80"/>
          <w:sz w:val="28"/>
          <w:szCs w:val="28"/>
        </w:rPr>
        <w:t>En situation de crise</w:t>
      </w:r>
      <w:r w:rsidR="00A27192">
        <w:rPr>
          <w:b/>
          <w:color w:val="244061" w:themeColor="accent1" w:themeShade="80"/>
          <w:sz w:val="28"/>
          <w:szCs w:val="28"/>
        </w:rPr>
        <w:t xml:space="preserve"> sanitaire</w:t>
      </w:r>
      <w:r w:rsidRPr="00D76136">
        <w:rPr>
          <w:b/>
          <w:color w:val="244061" w:themeColor="accent1" w:themeShade="80"/>
          <w:sz w:val="28"/>
          <w:szCs w:val="28"/>
        </w:rPr>
        <w:t xml:space="preserve">, s’appliquant uniquement aux activités de télétravail : </w:t>
      </w:r>
    </w:p>
    <w:p w14:paraId="00000026" w14:textId="77777777" w:rsidR="00773DC3" w:rsidRPr="00D76136" w:rsidRDefault="00773DC3" w:rsidP="00D76136">
      <w:pPr>
        <w:shd w:val="clear" w:color="auto" w:fill="D9D9D9" w:themeFill="background1" w:themeFillShade="D9"/>
        <w:spacing w:line="240" w:lineRule="auto"/>
        <w:jc w:val="both"/>
      </w:pPr>
    </w:p>
    <w:p w14:paraId="44598883" w14:textId="1B4666CD" w:rsidR="006A21C9" w:rsidRPr="00D76136" w:rsidRDefault="006A21C9" w:rsidP="00D76136">
      <w:pPr>
        <w:shd w:val="clear" w:color="auto" w:fill="D9D9D9" w:themeFill="background1" w:themeFillShade="D9"/>
        <w:spacing w:line="240" w:lineRule="auto"/>
        <w:jc w:val="both"/>
      </w:pPr>
      <w:r w:rsidRPr="00D76136">
        <w:t>L’encadrement de l’activité en télétravail par une mécanique de prévision reste souhaitable à des fins d’organisation et de planification des ressources. Compte tenu de la situation il est recommandé de se concentrer sur les prévisions journalières et hebdomadaires à date pour les semaines à venir</w:t>
      </w:r>
      <w:r w:rsidRPr="00D76136">
        <w:t>.</w:t>
      </w:r>
    </w:p>
    <w:p w14:paraId="76E287E2" w14:textId="77777777" w:rsidR="006A21C9" w:rsidRPr="00D76136" w:rsidRDefault="006A21C9" w:rsidP="00D76136">
      <w:pPr>
        <w:shd w:val="clear" w:color="auto" w:fill="D9D9D9" w:themeFill="background1" w:themeFillShade="D9"/>
        <w:spacing w:line="240" w:lineRule="auto"/>
        <w:jc w:val="both"/>
      </w:pPr>
    </w:p>
    <w:p w14:paraId="3AA54DE9" w14:textId="77777777" w:rsidR="006A21C9" w:rsidRPr="00D76136" w:rsidRDefault="006A21C9" w:rsidP="00D76136">
      <w:pPr>
        <w:shd w:val="clear" w:color="auto" w:fill="D9D9D9" w:themeFill="background1" w:themeFillShade="D9"/>
        <w:spacing w:line="240" w:lineRule="auto"/>
        <w:jc w:val="both"/>
      </w:pPr>
      <w:r w:rsidRPr="00D76136">
        <w:t>Il est recommandé de neutraliser le minimum de facturation eu égard</w:t>
      </w:r>
      <w:r w:rsidRPr="00D76136">
        <w:t xml:space="preserve"> : </w:t>
      </w:r>
    </w:p>
    <w:p w14:paraId="17BEB78E" w14:textId="0A947910" w:rsidR="006A21C9" w:rsidRPr="00D76136" w:rsidRDefault="006A21C9" w:rsidP="00D76136">
      <w:pPr>
        <w:pStyle w:val="Paragraphedeliste"/>
        <w:numPr>
          <w:ilvl w:val="0"/>
          <w:numId w:val="11"/>
        </w:numPr>
        <w:shd w:val="clear" w:color="auto" w:fill="D9D9D9" w:themeFill="background1" w:themeFillShade="D9"/>
        <w:spacing w:line="240" w:lineRule="auto"/>
        <w:ind w:left="720"/>
        <w:jc w:val="both"/>
      </w:pPr>
      <w:proofErr w:type="gramStart"/>
      <w:r w:rsidRPr="00D76136">
        <w:t>dès</w:t>
      </w:r>
      <w:proofErr w:type="gramEnd"/>
      <w:r w:rsidRPr="00D76136">
        <w:t xml:space="preserve"> lors que l’obligation de résultat est levée, </w:t>
      </w:r>
    </w:p>
    <w:p w14:paraId="64A44CC9" w14:textId="77777777" w:rsidR="006A21C9" w:rsidRPr="00D76136" w:rsidRDefault="006A21C9" w:rsidP="00D76136">
      <w:pPr>
        <w:pStyle w:val="Paragraphedeliste"/>
        <w:numPr>
          <w:ilvl w:val="0"/>
          <w:numId w:val="11"/>
        </w:numPr>
        <w:shd w:val="clear" w:color="auto" w:fill="D9D9D9" w:themeFill="background1" w:themeFillShade="D9"/>
        <w:spacing w:line="240" w:lineRule="auto"/>
        <w:ind w:left="720"/>
        <w:jc w:val="both"/>
      </w:pPr>
      <w:proofErr w:type="gramStart"/>
      <w:r w:rsidRPr="00D76136">
        <w:t>à</w:t>
      </w:r>
      <w:proofErr w:type="gramEnd"/>
      <w:r w:rsidRPr="00D76136">
        <w:t xml:space="preserve"> notre difficulté à assurer la planification des ressources </w:t>
      </w:r>
    </w:p>
    <w:p w14:paraId="021AC854" w14:textId="03339026" w:rsidR="006A21C9" w:rsidRDefault="006A21C9" w:rsidP="00D76136">
      <w:pPr>
        <w:pStyle w:val="Paragraphedeliste"/>
        <w:numPr>
          <w:ilvl w:val="0"/>
          <w:numId w:val="11"/>
        </w:numPr>
        <w:shd w:val="clear" w:color="auto" w:fill="D9D9D9" w:themeFill="background1" w:themeFillShade="D9"/>
        <w:spacing w:line="240" w:lineRule="auto"/>
        <w:ind w:left="720"/>
        <w:jc w:val="both"/>
      </w:pPr>
      <w:proofErr w:type="gramStart"/>
      <w:r w:rsidRPr="00D76136">
        <w:t>à</w:t>
      </w:r>
      <w:proofErr w:type="gramEnd"/>
      <w:r w:rsidRPr="00D76136">
        <w:t xml:space="preserve"> l’i</w:t>
      </w:r>
      <w:r w:rsidRPr="00D76136">
        <w:t>n</w:t>
      </w:r>
      <w:r w:rsidRPr="00D76136">
        <w:t>demnisation économique dont nous devrions bénéficier pour les effectifs non planifiés en cas d’activité partielle</w:t>
      </w:r>
      <w:r w:rsidR="00D76136">
        <w:t>.</w:t>
      </w:r>
    </w:p>
    <w:p w14:paraId="606AFB32" w14:textId="77777777" w:rsidR="00D76136" w:rsidRPr="00D76136" w:rsidRDefault="00D76136" w:rsidP="00D76136">
      <w:pPr>
        <w:pStyle w:val="Paragraphedeliste"/>
        <w:shd w:val="clear" w:color="auto" w:fill="D9D9D9" w:themeFill="background1" w:themeFillShade="D9"/>
        <w:spacing w:line="240" w:lineRule="auto"/>
        <w:ind w:left="0"/>
        <w:jc w:val="both"/>
      </w:pPr>
    </w:p>
    <w:p w14:paraId="00000027" w14:textId="5B74DCDF" w:rsidR="00773DC3" w:rsidRDefault="006A21C9" w:rsidP="00D76136">
      <w:pPr>
        <w:spacing w:line="240" w:lineRule="auto"/>
        <w:ind w:left="540"/>
        <w:jc w:val="both"/>
      </w:pPr>
      <w:r w:rsidRPr="006A21C9">
        <w:rPr>
          <w:i/>
          <w:iCs/>
        </w:rPr>
        <w:t/>
      </w:r>
    </w:p>
    <w:p w14:paraId="2D4A46F5" w14:textId="1590E6B8" w:rsidR="00D76136" w:rsidRDefault="00D76136" w:rsidP="00D76136">
      <w:pPr>
        <w:spacing w:line="240" w:lineRule="auto"/>
        <w:ind w:left="540"/>
        <w:jc w:val="both"/>
      </w:pPr>
    </w:p>
    <w:p w14:paraId="72EFDFC8" w14:textId="384456D7" w:rsidR="00D76136" w:rsidRDefault="00D76136" w:rsidP="00D76136">
      <w:pPr>
        <w:spacing w:line="240" w:lineRule="auto"/>
        <w:ind w:left="540"/>
        <w:jc w:val="both"/>
      </w:pPr>
    </w:p>
    <w:p w14:paraId="30C44DC6" w14:textId="75E86C55" w:rsidR="00117CF7" w:rsidRDefault="00117CF7" w:rsidP="00D76136">
      <w:pPr>
        <w:spacing w:line="240" w:lineRule="auto"/>
        <w:ind w:left="540"/>
        <w:jc w:val="both"/>
      </w:pPr>
    </w:p>
    <w:p w14:paraId="7090FD0D" w14:textId="77777777" w:rsidR="00117CF7" w:rsidRDefault="00117CF7" w:rsidP="00D76136">
      <w:pPr>
        <w:spacing w:line="240" w:lineRule="auto"/>
        <w:ind w:left="540"/>
        <w:jc w:val="both"/>
      </w:pPr>
    </w:p>
    <w:p w14:paraId="0000002A" w14:textId="0DE0C358" w:rsidR="00773DC3" w:rsidRPr="00624037" w:rsidRDefault="00624037" w:rsidP="00624037">
      <w:pPr>
        <w:pStyle w:val="Paragraphedeliste"/>
        <w:numPr>
          <w:ilvl w:val="0"/>
          <w:numId w:val="6"/>
        </w:numPr>
        <w:pBdr>
          <w:top w:val="nil"/>
          <w:left w:val="nil"/>
          <w:bottom w:val="nil"/>
          <w:right w:val="nil"/>
          <w:between w:val="nil"/>
        </w:pBdr>
        <w:spacing w:line="240" w:lineRule="auto"/>
        <w:jc w:val="both"/>
        <w:rPr>
          <w:b/>
          <w:color w:val="244061" w:themeColor="accent1" w:themeShade="80"/>
          <w:sz w:val="36"/>
          <w:szCs w:val="36"/>
        </w:rPr>
      </w:pPr>
      <w:r>
        <w:rPr>
          <w:b/>
          <w:color w:val="244061" w:themeColor="accent1" w:themeShade="80"/>
          <w:sz w:val="36"/>
          <w:szCs w:val="36"/>
        </w:rPr>
        <w:t>E</w:t>
      </w:r>
      <w:r w:rsidR="00040186" w:rsidRPr="00624037">
        <w:rPr>
          <w:b/>
          <w:color w:val="244061" w:themeColor="accent1" w:themeShade="80"/>
          <w:sz w:val="36"/>
          <w:szCs w:val="36"/>
        </w:rPr>
        <w:t xml:space="preserve">ngagements de service </w:t>
      </w:r>
    </w:p>
    <w:p w14:paraId="547E757D" w14:textId="77777777" w:rsidR="00AF1507" w:rsidRDefault="00AF1507">
      <w:pPr>
        <w:pBdr>
          <w:top w:val="nil"/>
          <w:left w:val="nil"/>
          <w:bottom w:val="nil"/>
          <w:right w:val="nil"/>
          <w:between w:val="nil"/>
        </w:pBdr>
        <w:spacing w:line="240" w:lineRule="auto"/>
        <w:jc w:val="both"/>
        <w:rPr>
          <w:b/>
          <w:color w:val="244061" w:themeColor="accent1" w:themeShade="80"/>
          <w:sz w:val="36"/>
          <w:szCs w:val="36"/>
        </w:rPr>
      </w:pPr>
    </w:p>
    <w:p w14:paraId="126E3067" w14:textId="3A145BD8" w:rsidR="00AF1507" w:rsidRPr="00AF1507" w:rsidRDefault="00AF1507">
      <w:pPr>
        <w:pBdr>
          <w:top w:val="nil"/>
          <w:left w:val="nil"/>
          <w:bottom w:val="nil"/>
          <w:right w:val="nil"/>
          <w:between w:val="nil"/>
        </w:pBdr>
        <w:spacing w:line="240" w:lineRule="auto"/>
        <w:jc w:val="both"/>
        <w:rPr>
          <w:b/>
          <w:color w:val="244061" w:themeColor="accent1" w:themeShade="80"/>
          <w:sz w:val="28"/>
          <w:szCs w:val="28"/>
        </w:rPr>
      </w:pPr>
      <w:r w:rsidRPr="00AF1507">
        <w:rPr>
          <w:b/>
          <w:color w:val="244061" w:themeColor="accent1" w:themeShade="80"/>
          <w:sz w:val="28"/>
          <w:szCs w:val="28"/>
        </w:rPr>
        <w:t>Principe</w:t>
      </w:r>
      <w:r w:rsidR="00FC7D4D">
        <w:rPr>
          <w:b/>
          <w:color w:val="244061" w:themeColor="accent1" w:themeShade="80"/>
          <w:sz w:val="28"/>
          <w:szCs w:val="28"/>
        </w:rPr>
        <w:t> :</w:t>
      </w:r>
    </w:p>
    <w:p w14:paraId="0000002B" w14:textId="77777777" w:rsidR="00773DC3" w:rsidRDefault="00773DC3">
      <w:pPr>
        <w:pBdr>
          <w:top w:val="nil"/>
          <w:left w:val="nil"/>
          <w:bottom w:val="nil"/>
          <w:right w:val="nil"/>
          <w:between w:val="nil"/>
        </w:pBdr>
        <w:spacing w:line="240" w:lineRule="auto"/>
        <w:jc w:val="both"/>
      </w:pPr>
    </w:p>
    <w:p w14:paraId="0000002C" w14:textId="31B4C57A" w:rsidR="00773DC3" w:rsidRDefault="00040186">
      <w:pPr>
        <w:pBdr>
          <w:top w:val="nil"/>
          <w:left w:val="nil"/>
          <w:bottom w:val="nil"/>
          <w:right w:val="nil"/>
          <w:between w:val="nil"/>
        </w:pBdr>
        <w:spacing w:line="240" w:lineRule="auto"/>
        <w:ind w:left="540"/>
        <w:jc w:val="both"/>
      </w:pPr>
      <w:r>
        <w:t>Les contrats sont naturellement organisés autour d’indicateurs de qualité de service et d’obligations q</w:t>
      </w:r>
      <w:r w:rsidR="000F6348">
        <w:t xml:space="preserve">ui encadrent les prestations, </w:t>
      </w:r>
      <w:r>
        <w:t>servent à l’éval</w:t>
      </w:r>
      <w:r w:rsidR="003E2D05">
        <w:t>uation de la prestation et, le</w:t>
      </w:r>
      <w:r w:rsidR="0023008B">
        <w:t xml:space="preserve"> </w:t>
      </w:r>
      <w:r w:rsidR="003E2D05">
        <w:t>cas échéant</w:t>
      </w:r>
      <w:r>
        <w:t xml:space="preserve"> à l’établissement des bonus et des malus voire à la mise en </w:t>
      </w:r>
      <w:r w:rsidR="00AF1507">
        <w:t>œuvre</w:t>
      </w:r>
      <w:r>
        <w:t xml:space="preserve"> des clauses résolutoires.</w:t>
      </w:r>
    </w:p>
    <w:p w14:paraId="0000002D" w14:textId="77777777" w:rsidR="00773DC3" w:rsidRDefault="00773DC3">
      <w:pPr>
        <w:pBdr>
          <w:top w:val="nil"/>
          <w:left w:val="nil"/>
          <w:bottom w:val="nil"/>
          <w:right w:val="nil"/>
          <w:between w:val="nil"/>
        </w:pBdr>
        <w:spacing w:line="240" w:lineRule="auto"/>
        <w:ind w:left="540"/>
        <w:jc w:val="both"/>
      </w:pPr>
    </w:p>
    <w:p w14:paraId="0000002E" w14:textId="5D97C53C" w:rsidR="00773DC3" w:rsidRPr="001233A1" w:rsidRDefault="001233A1">
      <w:pPr>
        <w:pBdr>
          <w:top w:val="nil"/>
          <w:left w:val="nil"/>
          <w:bottom w:val="nil"/>
          <w:right w:val="nil"/>
          <w:between w:val="nil"/>
        </w:pBdr>
        <w:spacing w:line="240" w:lineRule="auto"/>
        <w:ind w:left="540"/>
        <w:jc w:val="both"/>
      </w:pPr>
      <w:r w:rsidRPr="001233A1">
        <w:t>L</w:t>
      </w:r>
      <w:r w:rsidR="00040186" w:rsidRPr="001233A1">
        <w:t xml:space="preserve">es obligations de résultats </w:t>
      </w:r>
      <w:r w:rsidRPr="001233A1">
        <w:t xml:space="preserve">ne peuvent toutefois être maintenues </w:t>
      </w:r>
      <w:r w:rsidR="00040186" w:rsidRPr="001233A1">
        <w:t>quand les flux confiés sont atypiques (modulation intra pé</w:t>
      </w:r>
      <w:r w:rsidRPr="001233A1">
        <w:t>riode) ou dépassent</w:t>
      </w:r>
      <w:r w:rsidR="00040186" w:rsidRPr="001233A1">
        <w:t xml:space="preserve"> les prévisions sur lesquelles sont programmées les ressources qui sont en charge de les traiter. </w:t>
      </w:r>
    </w:p>
    <w:p w14:paraId="0000002F" w14:textId="77777777" w:rsidR="00773DC3" w:rsidRPr="001233A1" w:rsidRDefault="00773DC3">
      <w:pPr>
        <w:pBdr>
          <w:top w:val="nil"/>
          <w:left w:val="nil"/>
          <w:bottom w:val="nil"/>
          <w:right w:val="nil"/>
          <w:between w:val="nil"/>
        </w:pBdr>
        <w:spacing w:line="240" w:lineRule="auto"/>
        <w:ind w:left="540"/>
        <w:jc w:val="both"/>
      </w:pPr>
    </w:p>
    <w:p w14:paraId="00000030" w14:textId="5680D95E" w:rsidR="00773DC3" w:rsidRPr="001233A1" w:rsidRDefault="001233A1">
      <w:pPr>
        <w:pBdr>
          <w:top w:val="nil"/>
          <w:left w:val="nil"/>
          <w:bottom w:val="nil"/>
          <w:right w:val="nil"/>
          <w:between w:val="nil"/>
        </w:pBdr>
        <w:spacing w:line="240" w:lineRule="auto"/>
        <w:ind w:left="540"/>
        <w:jc w:val="both"/>
      </w:pPr>
      <w:r w:rsidRPr="001233A1">
        <w:t xml:space="preserve">Dans le cas contraire </w:t>
      </w:r>
      <w:r w:rsidR="00040186" w:rsidRPr="001233A1">
        <w:t>Il en résulte mécaniquement</w:t>
      </w:r>
      <w:r>
        <w:t xml:space="preserve"> en contradiction avec l’esprit d’un partenariat responsable :</w:t>
      </w:r>
      <w:r w:rsidR="00040186" w:rsidRPr="001233A1">
        <w:t xml:space="preserve"> i) un impact sur les conditions de travail de ceux qui ont la charge de les traiter ii) une dégradation des conditions é</w:t>
      </w:r>
      <w:r w:rsidR="0023008B">
        <w:t>conomiques pour le Prestataire</w:t>
      </w:r>
      <w:r w:rsidR="00040186" w:rsidRPr="001233A1">
        <w:t xml:space="preserve"> qui - s’il veut couvrir ce risque - doit majorer de manière significative ses effectifs.</w:t>
      </w:r>
    </w:p>
    <w:p w14:paraId="00000031" w14:textId="49893C9A" w:rsidR="00773DC3" w:rsidRDefault="00EB53FD" w:rsidP="00EB53FD">
      <w:pPr>
        <w:pBdr>
          <w:top w:val="nil"/>
          <w:left w:val="nil"/>
          <w:bottom w:val="nil"/>
          <w:right w:val="nil"/>
          <w:between w:val="nil"/>
        </w:pBdr>
        <w:tabs>
          <w:tab w:val="left" w:pos="1236"/>
        </w:tabs>
        <w:spacing w:line="240" w:lineRule="auto"/>
        <w:jc w:val="both"/>
      </w:pPr>
      <w:r>
        <w:tab/>
      </w:r>
    </w:p>
    <w:p w14:paraId="00000032" w14:textId="77777777" w:rsidR="00773DC3" w:rsidRPr="00EB53FD" w:rsidRDefault="00773DC3">
      <w:pPr>
        <w:pBdr>
          <w:top w:val="nil"/>
          <w:left w:val="nil"/>
          <w:bottom w:val="nil"/>
          <w:right w:val="nil"/>
          <w:between w:val="nil"/>
        </w:pBdr>
        <w:spacing w:line="240" w:lineRule="auto"/>
        <w:jc w:val="both"/>
        <w:rPr>
          <w:sz w:val="28"/>
          <w:szCs w:val="28"/>
        </w:rPr>
      </w:pPr>
    </w:p>
    <w:p w14:paraId="0E821820" w14:textId="2FE433CE" w:rsidR="00691AAD" w:rsidRPr="00AF1507" w:rsidRDefault="00040186">
      <w:pPr>
        <w:pBdr>
          <w:top w:val="nil"/>
          <w:left w:val="nil"/>
          <w:bottom w:val="nil"/>
          <w:right w:val="nil"/>
          <w:between w:val="nil"/>
        </w:pBdr>
        <w:spacing w:line="240" w:lineRule="auto"/>
        <w:jc w:val="both"/>
        <w:rPr>
          <w:b/>
          <w:color w:val="244061" w:themeColor="accent1" w:themeShade="80"/>
          <w:sz w:val="28"/>
          <w:szCs w:val="28"/>
        </w:rPr>
      </w:pPr>
      <w:r w:rsidRPr="00AF1507">
        <w:rPr>
          <w:b/>
          <w:color w:val="244061" w:themeColor="accent1" w:themeShade="80"/>
          <w:sz w:val="28"/>
          <w:szCs w:val="28"/>
        </w:rPr>
        <w:t>Recommandations &amp; Pratiques responsables :</w:t>
      </w:r>
    </w:p>
    <w:p w14:paraId="00000034" w14:textId="77777777" w:rsidR="00773DC3" w:rsidRDefault="00773DC3">
      <w:pPr>
        <w:pBdr>
          <w:top w:val="nil"/>
          <w:left w:val="nil"/>
          <w:bottom w:val="nil"/>
          <w:right w:val="nil"/>
          <w:between w:val="nil"/>
        </w:pBdr>
        <w:spacing w:line="240" w:lineRule="auto"/>
        <w:jc w:val="both"/>
      </w:pPr>
    </w:p>
    <w:p w14:paraId="00000035" w14:textId="62983A1A" w:rsidR="00773DC3" w:rsidRPr="003A5B68" w:rsidRDefault="00040186">
      <w:pPr>
        <w:pBdr>
          <w:top w:val="nil"/>
          <w:left w:val="nil"/>
          <w:bottom w:val="nil"/>
          <w:right w:val="nil"/>
          <w:between w:val="nil"/>
        </w:pBdr>
        <w:spacing w:line="240" w:lineRule="auto"/>
        <w:ind w:left="540"/>
        <w:jc w:val="both"/>
      </w:pPr>
      <w:r w:rsidRPr="003A5B68">
        <w:t>L’élasticité qui peut être nécessaire pour répondre à des flux exceptionnels ne peut s’o</w:t>
      </w:r>
      <w:r w:rsidR="0023008B">
        <w:t>pérer que dans un cadre d’un « </w:t>
      </w:r>
      <w:r w:rsidR="003A5B68">
        <w:t>meilleur</w:t>
      </w:r>
      <w:r w:rsidR="0023008B">
        <w:t>-effort »</w:t>
      </w:r>
      <w:r w:rsidRPr="003A5B68">
        <w:t xml:space="preserve"> et à la condition associée </w:t>
      </w:r>
      <w:r w:rsidR="003A5B68">
        <w:t xml:space="preserve">que les indicateurs de malus/pénalités </w:t>
      </w:r>
      <w:r w:rsidRPr="003A5B68">
        <w:t>qu’il pourrait induire soient gelés sur la période considérée et pour une durée qui n</w:t>
      </w:r>
      <w:r w:rsidR="0023008B">
        <w:t>e peut</w:t>
      </w:r>
      <w:r w:rsidR="006D6559">
        <w:t xml:space="preserve"> être inférieure à 7</w:t>
      </w:r>
      <w:r w:rsidRPr="003A5B68">
        <w:t xml:space="preserve"> jours.</w:t>
      </w:r>
    </w:p>
    <w:p w14:paraId="00000036" w14:textId="77777777" w:rsidR="00773DC3" w:rsidRDefault="00773DC3">
      <w:pPr>
        <w:pBdr>
          <w:top w:val="nil"/>
          <w:left w:val="nil"/>
          <w:bottom w:val="nil"/>
          <w:right w:val="nil"/>
          <w:between w:val="nil"/>
        </w:pBdr>
        <w:spacing w:line="240" w:lineRule="auto"/>
        <w:ind w:left="540"/>
        <w:jc w:val="both"/>
      </w:pPr>
    </w:p>
    <w:p w14:paraId="00000037" w14:textId="3095AA44" w:rsidR="00773DC3" w:rsidRDefault="00040186">
      <w:pPr>
        <w:pBdr>
          <w:top w:val="nil"/>
          <w:left w:val="nil"/>
          <w:bottom w:val="nil"/>
          <w:right w:val="nil"/>
          <w:between w:val="nil"/>
        </w:pBdr>
        <w:spacing w:line="240" w:lineRule="auto"/>
        <w:ind w:left="540"/>
        <w:jc w:val="both"/>
      </w:pPr>
      <w:r>
        <w:t xml:space="preserve">Il reviendra </w:t>
      </w:r>
      <w:r w:rsidR="006D6559">
        <w:t xml:space="preserve">donc au </w:t>
      </w:r>
      <w:r w:rsidR="0023008B">
        <w:t>donneur d’ordre</w:t>
      </w:r>
      <w:r w:rsidR="006D6559">
        <w:t xml:space="preserve"> </w:t>
      </w:r>
      <w:r>
        <w:t xml:space="preserve">au moment de la survenance de ces pics de déterminer </w:t>
      </w:r>
      <w:r w:rsidR="006D6559">
        <w:t xml:space="preserve">et de notifier </w:t>
      </w:r>
      <w:r>
        <w:t>s’</w:t>
      </w:r>
      <w:r w:rsidR="006D6559">
        <w:t>il souhaite que le prestataire</w:t>
      </w:r>
      <w:r>
        <w:t xml:space="preserve"> sorte du cadre contractuel nominal pour privilégier la prise du flux au détriment d’autres indicateurs qualités.</w:t>
      </w:r>
    </w:p>
    <w:p w14:paraId="73CB8984" w14:textId="77777777" w:rsidR="00AF1507" w:rsidRDefault="00AF1507">
      <w:pPr>
        <w:pBdr>
          <w:top w:val="nil"/>
          <w:left w:val="nil"/>
          <w:bottom w:val="nil"/>
          <w:right w:val="nil"/>
          <w:between w:val="nil"/>
        </w:pBdr>
        <w:spacing w:line="240" w:lineRule="auto"/>
        <w:ind w:left="540"/>
        <w:jc w:val="both"/>
      </w:pPr>
    </w:p>
    <w:p w14:paraId="03DAF64B" w14:textId="218DD032" w:rsidR="00691AAD" w:rsidRPr="004F0895" w:rsidRDefault="00691AAD">
      <w:pPr>
        <w:pBdr>
          <w:top w:val="nil"/>
          <w:left w:val="nil"/>
          <w:bottom w:val="nil"/>
          <w:right w:val="nil"/>
          <w:between w:val="nil"/>
        </w:pBdr>
        <w:spacing w:line="240" w:lineRule="auto"/>
        <w:ind w:left="540"/>
        <w:jc w:val="both"/>
      </w:pPr>
      <w:r w:rsidRPr="004F0895">
        <w:t>Il est admis qu’un présenté supérieur à 110 % du prévisionnel</w:t>
      </w:r>
      <w:r w:rsidR="003A5B68" w:rsidRPr="004F0895">
        <w:t xml:space="preserve"> engageant </w:t>
      </w:r>
      <w:r w:rsidRPr="004F0895">
        <w:t xml:space="preserve"> </w:t>
      </w:r>
      <w:r w:rsidR="003A5B68" w:rsidRPr="004F0895">
        <w:t>gèle</w:t>
      </w:r>
      <w:r w:rsidRPr="004F0895">
        <w:t xml:space="preserve"> automatiquement l</w:t>
      </w:r>
      <w:r w:rsidR="003A5B68" w:rsidRPr="004F0895">
        <w:t>’ensemble d</w:t>
      </w:r>
      <w:r w:rsidRPr="004F0895">
        <w:t xml:space="preserve">es </w:t>
      </w:r>
      <w:r w:rsidR="003A5B68" w:rsidRPr="004F0895">
        <w:t xml:space="preserve">malus et </w:t>
      </w:r>
      <w:r w:rsidRPr="004F0895">
        <w:t xml:space="preserve">pénalités pour la période </w:t>
      </w:r>
      <w:r w:rsidR="003A5B68" w:rsidRPr="004F0895">
        <w:t>considérée.</w:t>
      </w:r>
    </w:p>
    <w:p w14:paraId="62678BBB" w14:textId="77777777" w:rsidR="00AF1507" w:rsidRDefault="00AF1507">
      <w:pPr>
        <w:pBdr>
          <w:top w:val="nil"/>
          <w:left w:val="nil"/>
          <w:bottom w:val="nil"/>
          <w:right w:val="nil"/>
          <w:between w:val="nil"/>
        </w:pBdr>
        <w:spacing w:line="240" w:lineRule="auto"/>
        <w:ind w:left="540"/>
        <w:jc w:val="both"/>
      </w:pPr>
    </w:p>
    <w:p w14:paraId="00000038" w14:textId="77777777" w:rsidR="00773DC3" w:rsidRDefault="00773DC3">
      <w:pPr>
        <w:pBdr>
          <w:top w:val="nil"/>
          <w:left w:val="nil"/>
          <w:bottom w:val="nil"/>
          <w:right w:val="nil"/>
          <w:between w:val="nil"/>
        </w:pBdr>
        <w:spacing w:line="240" w:lineRule="auto"/>
        <w:jc w:val="both"/>
        <w:rPr>
          <w:b/>
          <w:color w:val="33339B"/>
        </w:rPr>
      </w:pPr>
    </w:p>
    <w:p w14:paraId="0F26149B" w14:textId="77777777" w:rsidR="00D76136" w:rsidRDefault="00D76136" w:rsidP="00D76136">
      <w:pPr>
        <w:shd w:val="clear" w:color="auto" w:fill="D9D9D9" w:themeFill="background1" w:themeFillShade="D9"/>
        <w:spacing w:line="240" w:lineRule="auto"/>
        <w:jc w:val="both"/>
        <w:rPr>
          <w:b/>
          <w:color w:val="244061" w:themeColor="accent1" w:themeShade="80"/>
          <w:sz w:val="28"/>
          <w:szCs w:val="28"/>
        </w:rPr>
      </w:pPr>
    </w:p>
    <w:p w14:paraId="15DEE6CA" w14:textId="2A3B6E4E" w:rsidR="00967F61" w:rsidRPr="00D76136" w:rsidRDefault="00967F61" w:rsidP="00D76136">
      <w:pPr>
        <w:shd w:val="clear" w:color="auto" w:fill="D9D9D9" w:themeFill="background1" w:themeFillShade="D9"/>
        <w:spacing w:line="240" w:lineRule="auto"/>
        <w:jc w:val="both"/>
        <w:rPr>
          <w:b/>
          <w:color w:val="244061" w:themeColor="accent1" w:themeShade="80"/>
          <w:sz w:val="28"/>
          <w:szCs w:val="28"/>
        </w:rPr>
      </w:pPr>
      <w:r w:rsidRPr="00D76136">
        <w:rPr>
          <w:b/>
          <w:color w:val="244061" w:themeColor="accent1" w:themeShade="80"/>
          <w:sz w:val="28"/>
          <w:szCs w:val="28"/>
        </w:rPr>
        <w:t>En situation de crise</w:t>
      </w:r>
      <w:r w:rsidR="00A27192">
        <w:rPr>
          <w:b/>
          <w:color w:val="244061" w:themeColor="accent1" w:themeShade="80"/>
          <w:sz w:val="28"/>
          <w:szCs w:val="28"/>
        </w:rPr>
        <w:t xml:space="preserve"> sanitaire</w:t>
      </w:r>
      <w:r w:rsidRPr="00D76136">
        <w:rPr>
          <w:b/>
          <w:color w:val="244061" w:themeColor="accent1" w:themeShade="80"/>
          <w:sz w:val="28"/>
          <w:szCs w:val="28"/>
        </w:rPr>
        <w:t xml:space="preserve">, s’appliquant uniquement aux activités de télétravail : </w:t>
      </w:r>
    </w:p>
    <w:p w14:paraId="6001D3D5" w14:textId="77777777" w:rsidR="00C95BFB" w:rsidRPr="00D76136" w:rsidRDefault="00C95BFB" w:rsidP="00D76136">
      <w:pPr>
        <w:shd w:val="clear" w:color="auto" w:fill="D9D9D9" w:themeFill="background1" w:themeFillShade="D9"/>
        <w:spacing w:line="240" w:lineRule="auto"/>
        <w:jc w:val="both"/>
        <w:rPr>
          <w:b/>
          <w:color w:val="244061" w:themeColor="accent1" w:themeShade="80"/>
          <w:sz w:val="28"/>
          <w:szCs w:val="28"/>
        </w:rPr>
      </w:pPr>
    </w:p>
    <w:p w14:paraId="01AF6376" w14:textId="77777777" w:rsidR="00D76136" w:rsidRDefault="00C95BFB" w:rsidP="00D76136">
      <w:pPr>
        <w:shd w:val="clear" w:color="auto" w:fill="D9D9D9" w:themeFill="background1" w:themeFillShade="D9"/>
        <w:spacing w:line="240" w:lineRule="auto"/>
        <w:jc w:val="both"/>
      </w:pPr>
      <w:r w:rsidRPr="00D76136">
        <w:t xml:space="preserve">Les mesures de flexibilité et de productivité ne pouvant s’appliquer en situation de crise pour les activités opérées en télétravail, hors organisation industrielle usuelle sur site, en absence des outils courants et compte tenu des nombreux facteurs </w:t>
      </w:r>
      <w:proofErr w:type="spellStart"/>
      <w:r w:rsidRPr="00D76136">
        <w:t>exogénes</w:t>
      </w:r>
      <w:proofErr w:type="spellEnd"/>
      <w:r w:rsidRPr="00D76136">
        <w:t xml:space="preserve"> pouvant perturber l’activité, les prestataires ne peuvent être soumis à une obligation de résultat. </w:t>
      </w:r>
    </w:p>
    <w:p w14:paraId="2386D621" w14:textId="77777777" w:rsidR="00D76136" w:rsidRDefault="00D76136" w:rsidP="00D76136">
      <w:pPr>
        <w:shd w:val="clear" w:color="auto" w:fill="D9D9D9" w:themeFill="background1" w:themeFillShade="D9"/>
        <w:spacing w:line="240" w:lineRule="auto"/>
        <w:jc w:val="both"/>
      </w:pPr>
    </w:p>
    <w:p w14:paraId="2196AD6C" w14:textId="408759A5" w:rsidR="00C95BFB" w:rsidRDefault="00C95BFB" w:rsidP="00D76136">
      <w:pPr>
        <w:shd w:val="clear" w:color="auto" w:fill="D9D9D9" w:themeFill="background1" w:themeFillShade="D9"/>
        <w:spacing w:line="240" w:lineRule="auto"/>
        <w:jc w:val="both"/>
      </w:pPr>
      <w:r w:rsidRPr="00D76136">
        <w:t>Les prestataires s’engagent à faire leur « meilleur effort » pour adapter les dispositifs aux variations d’activité rencontrées</w:t>
      </w:r>
      <w:r w:rsidR="00D76136">
        <w:t>.</w:t>
      </w:r>
    </w:p>
    <w:p w14:paraId="1F7EC90E" w14:textId="77777777" w:rsidR="00827AE9" w:rsidRDefault="00827AE9">
      <w:pPr>
        <w:pBdr>
          <w:top w:val="nil"/>
          <w:left w:val="nil"/>
          <w:bottom w:val="nil"/>
          <w:right w:val="nil"/>
          <w:between w:val="nil"/>
        </w:pBdr>
        <w:spacing w:line="240" w:lineRule="auto"/>
        <w:jc w:val="both"/>
        <w:rPr>
          <w:b/>
          <w:color w:val="33339B"/>
        </w:rPr>
      </w:pPr>
    </w:p>
    <w:p w14:paraId="0000003A" w14:textId="3401DE1B" w:rsidR="00773DC3" w:rsidRPr="001F63BE" w:rsidRDefault="00040186" w:rsidP="001F63BE">
      <w:pPr>
        <w:pStyle w:val="Paragraphedeliste"/>
        <w:numPr>
          <w:ilvl w:val="0"/>
          <w:numId w:val="6"/>
        </w:numPr>
        <w:pBdr>
          <w:top w:val="nil"/>
          <w:left w:val="nil"/>
          <w:bottom w:val="nil"/>
          <w:right w:val="nil"/>
          <w:between w:val="nil"/>
        </w:pBdr>
        <w:spacing w:line="240" w:lineRule="auto"/>
        <w:jc w:val="both"/>
        <w:rPr>
          <w:b/>
          <w:color w:val="244061" w:themeColor="accent1" w:themeShade="80"/>
          <w:sz w:val="36"/>
          <w:szCs w:val="36"/>
        </w:rPr>
      </w:pPr>
      <w:r w:rsidRPr="001F63BE">
        <w:rPr>
          <w:b/>
          <w:color w:val="244061" w:themeColor="accent1" w:themeShade="80"/>
          <w:sz w:val="36"/>
          <w:szCs w:val="36"/>
        </w:rPr>
        <w:t>Du bon usage des bonus, malus et pénalités</w:t>
      </w:r>
    </w:p>
    <w:p w14:paraId="60A437CE" w14:textId="77777777" w:rsidR="00691AAD" w:rsidRDefault="00691AAD">
      <w:pPr>
        <w:pBdr>
          <w:top w:val="nil"/>
          <w:left w:val="nil"/>
          <w:bottom w:val="nil"/>
          <w:right w:val="nil"/>
          <w:between w:val="nil"/>
        </w:pBdr>
        <w:spacing w:line="240" w:lineRule="auto"/>
        <w:jc w:val="both"/>
        <w:rPr>
          <w:b/>
          <w:color w:val="33339B"/>
          <w:sz w:val="36"/>
          <w:szCs w:val="36"/>
        </w:rPr>
      </w:pPr>
    </w:p>
    <w:p w14:paraId="16FDCF1A" w14:textId="2AE58202" w:rsidR="00691AAD" w:rsidRDefault="00691AAD">
      <w:pPr>
        <w:pBdr>
          <w:top w:val="nil"/>
          <w:left w:val="nil"/>
          <w:bottom w:val="nil"/>
          <w:right w:val="nil"/>
          <w:between w:val="nil"/>
        </w:pBdr>
        <w:spacing w:line="240" w:lineRule="auto"/>
        <w:jc w:val="both"/>
        <w:rPr>
          <w:b/>
          <w:color w:val="244061" w:themeColor="accent1" w:themeShade="80"/>
          <w:sz w:val="28"/>
          <w:szCs w:val="28"/>
        </w:rPr>
      </w:pPr>
      <w:r w:rsidRPr="00691AAD">
        <w:rPr>
          <w:b/>
          <w:color w:val="244061" w:themeColor="accent1" w:themeShade="80"/>
          <w:sz w:val="28"/>
          <w:szCs w:val="28"/>
        </w:rPr>
        <w:t>Principe</w:t>
      </w:r>
      <w:r w:rsidR="00FC7D4D">
        <w:rPr>
          <w:b/>
          <w:color w:val="244061" w:themeColor="accent1" w:themeShade="80"/>
          <w:sz w:val="28"/>
          <w:szCs w:val="28"/>
        </w:rPr>
        <w:t> :</w:t>
      </w:r>
    </w:p>
    <w:p w14:paraId="41B94C7C" w14:textId="77777777" w:rsidR="00801B44" w:rsidRPr="00691AAD" w:rsidRDefault="00801B44">
      <w:pPr>
        <w:pBdr>
          <w:top w:val="nil"/>
          <w:left w:val="nil"/>
          <w:bottom w:val="nil"/>
          <w:right w:val="nil"/>
          <w:between w:val="nil"/>
        </w:pBdr>
        <w:spacing w:line="240" w:lineRule="auto"/>
        <w:jc w:val="both"/>
        <w:rPr>
          <w:b/>
          <w:color w:val="244061" w:themeColor="accent1" w:themeShade="80"/>
          <w:sz w:val="28"/>
          <w:szCs w:val="28"/>
        </w:rPr>
      </w:pPr>
    </w:p>
    <w:p w14:paraId="2ACA736E" w14:textId="166A6FE4" w:rsidR="00D76136" w:rsidRDefault="00705F16">
      <w:pPr>
        <w:pBdr>
          <w:top w:val="nil"/>
          <w:left w:val="nil"/>
          <w:bottom w:val="nil"/>
          <w:right w:val="nil"/>
          <w:between w:val="nil"/>
        </w:pBdr>
        <w:spacing w:line="240" w:lineRule="auto"/>
        <w:ind w:left="540"/>
        <w:jc w:val="both"/>
      </w:pPr>
      <w:r>
        <w:t>La recherche d’excellence via l’externalisation</w:t>
      </w:r>
      <w:r w:rsidR="00040186">
        <w:t xml:space="preserve"> des activités confiées par</w:t>
      </w:r>
      <w:r w:rsidR="003E2D05">
        <w:t xml:space="preserve"> les donneurs d’ordre ont conduit</w:t>
      </w:r>
      <w:r w:rsidR="00040186">
        <w:t xml:space="preserve"> ces derniers à mettre en place des systèmes de motivation positifs ou négatifs afin d</w:t>
      </w:r>
      <w:r>
        <w:t>’</w:t>
      </w:r>
      <w:r w:rsidR="00040186">
        <w:t>e</w:t>
      </w:r>
      <w:r>
        <w:t>n</w:t>
      </w:r>
      <w:r w:rsidR="00040186">
        <w:t xml:space="preserve"> stimuler la performance. Ces mécanismes évoluent naturellement au fil de la vie du contrat pour épou</w:t>
      </w:r>
      <w:r>
        <w:t>ser l’évolution des activités, l</w:t>
      </w:r>
      <w:r w:rsidR="00040186">
        <w:t xml:space="preserve">es objectifs et des enjeux du </w:t>
      </w:r>
      <w:r w:rsidR="0023008B">
        <w:t>donneur d’ordre</w:t>
      </w:r>
      <w:r w:rsidR="00040186">
        <w:t xml:space="preserve">. </w:t>
      </w:r>
    </w:p>
    <w:p w14:paraId="0C53404B" w14:textId="77777777" w:rsidR="00D76136" w:rsidRDefault="00D76136">
      <w:pPr>
        <w:pBdr>
          <w:top w:val="nil"/>
          <w:left w:val="nil"/>
          <w:bottom w:val="nil"/>
          <w:right w:val="nil"/>
          <w:between w:val="nil"/>
        </w:pBdr>
        <w:spacing w:line="240" w:lineRule="auto"/>
        <w:ind w:left="540"/>
        <w:jc w:val="both"/>
      </w:pPr>
    </w:p>
    <w:p w14:paraId="2833855A" w14:textId="77777777" w:rsidR="00D76136" w:rsidRDefault="00040186">
      <w:pPr>
        <w:pBdr>
          <w:top w:val="nil"/>
          <w:left w:val="nil"/>
          <w:bottom w:val="nil"/>
          <w:right w:val="nil"/>
          <w:between w:val="nil"/>
        </w:pBdr>
        <w:spacing w:line="240" w:lineRule="auto"/>
        <w:ind w:left="540"/>
        <w:jc w:val="both"/>
      </w:pPr>
      <w:r>
        <w:t xml:space="preserve">En pratique les Prestataires </w:t>
      </w:r>
    </w:p>
    <w:p w14:paraId="2C7D9999" w14:textId="77777777" w:rsidR="00D76136" w:rsidRDefault="00040186">
      <w:pPr>
        <w:pBdr>
          <w:top w:val="nil"/>
          <w:left w:val="nil"/>
          <w:bottom w:val="nil"/>
          <w:right w:val="nil"/>
          <w:between w:val="nil"/>
        </w:pBdr>
        <w:spacing w:line="240" w:lineRule="auto"/>
        <w:ind w:left="540"/>
        <w:jc w:val="both"/>
      </w:pPr>
      <w:r>
        <w:t xml:space="preserve">- pour motiver les acteurs de cette performance </w:t>
      </w:r>
    </w:p>
    <w:p w14:paraId="0000003D" w14:textId="697A3B60" w:rsidR="00773DC3" w:rsidRDefault="00040186">
      <w:pPr>
        <w:pBdr>
          <w:top w:val="nil"/>
          <w:left w:val="nil"/>
          <w:bottom w:val="nil"/>
          <w:right w:val="nil"/>
          <w:between w:val="nil"/>
        </w:pBdr>
        <w:spacing w:line="240" w:lineRule="auto"/>
        <w:ind w:left="540"/>
        <w:jc w:val="both"/>
      </w:pPr>
      <w:r>
        <w:t xml:space="preserve">- viseront à calquer leur propre système de motivation </w:t>
      </w:r>
      <w:r w:rsidR="00705F16">
        <w:t xml:space="preserve">de </w:t>
      </w:r>
      <w:r w:rsidR="0023008B">
        <w:t>leurs salariés</w:t>
      </w:r>
      <w:r w:rsidR="00705F16">
        <w:t xml:space="preserve"> </w:t>
      </w:r>
      <w:r>
        <w:t>sur celui du contrat.</w:t>
      </w:r>
      <w:r w:rsidR="00EB53FD">
        <w:t xml:space="preserve"> </w:t>
      </w:r>
    </w:p>
    <w:p w14:paraId="1144C5F1" w14:textId="77777777" w:rsidR="00D76136" w:rsidRDefault="00D76136">
      <w:pPr>
        <w:pBdr>
          <w:top w:val="nil"/>
          <w:left w:val="nil"/>
          <w:bottom w:val="nil"/>
          <w:right w:val="nil"/>
          <w:between w:val="nil"/>
        </w:pBdr>
        <w:spacing w:line="240" w:lineRule="auto"/>
        <w:ind w:left="540"/>
        <w:jc w:val="both"/>
      </w:pPr>
    </w:p>
    <w:p w14:paraId="00000040" w14:textId="1ABED6EE" w:rsidR="00773DC3" w:rsidRPr="009E5661" w:rsidRDefault="00705F16" w:rsidP="009E5661">
      <w:pPr>
        <w:pBdr>
          <w:top w:val="nil"/>
          <w:left w:val="nil"/>
          <w:bottom w:val="nil"/>
          <w:right w:val="nil"/>
          <w:between w:val="nil"/>
        </w:pBdr>
        <w:spacing w:line="240" w:lineRule="auto"/>
        <w:ind w:left="540"/>
        <w:jc w:val="both"/>
      </w:pPr>
      <w:r w:rsidRPr="009E5661">
        <w:t>Toutefois, u</w:t>
      </w:r>
      <w:r w:rsidR="00040186" w:rsidRPr="009E5661">
        <w:t>ne prat</w:t>
      </w:r>
      <w:r w:rsidRPr="009E5661">
        <w:t xml:space="preserve">ique consistant à </w:t>
      </w:r>
      <w:r w:rsidR="009E5661" w:rsidRPr="009E5661">
        <w:t>appliquer</w:t>
      </w:r>
      <w:r w:rsidR="00040186" w:rsidRPr="009E5661">
        <w:t xml:space="preserve"> des pénalités parfois disproportionnées ou à piloter le prix de la prestation en fixant des objectifs qui ne</w:t>
      </w:r>
      <w:r w:rsidRPr="009E5661">
        <w:t xml:space="preserve"> sont pas toujours atteignables ne correspond pas à l’esprit d’un partenariat responsable</w:t>
      </w:r>
      <w:r w:rsidR="009E5661" w:rsidRPr="009E5661">
        <w:t xml:space="preserve"> dans la mesure </w:t>
      </w:r>
      <w:r w:rsidR="0023008B" w:rsidRPr="009E5661">
        <w:t>où</w:t>
      </w:r>
      <w:r w:rsidR="009E5661" w:rsidRPr="009E5661">
        <w:t xml:space="preserve"> il </w:t>
      </w:r>
      <w:r w:rsidR="00040186" w:rsidRPr="009E5661">
        <w:t>en résulte par répercussion un déséquilibre économique du contrat et une dégradation des conditions de travail.</w:t>
      </w:r>
    </w:p>
    <w:p w14:paraId="00000041" w14:textId="77777777" w:rsidR="00773DC3" w:rsidRDefault="00773DC3">
      <w:pPr>
        <w:pBdr>
          <w:top w:val="nil"/>
          <w:left w:val="nil"/>
          <w:bottom w:val="nil"/>
          <w:right w:val="nil"/>
          <w:between w:val="nil"/>
        </w:pBdr>
        <w:spacing w:line="240" w:lineRule="auto"/>
        <w:jc w:val="both"/>
      </w:pPr>
    </w:p>
    <w:p w14:paraId="00000042" w14:textId="77777777" w:rsidR="00773DC3" w:rsidRPr="00691AAD" w:rsidRDefault="00040186">
      <w:pPr>
        <w:pBdr>
          <w:top w:val="nil"/>
          <w:left w:val="nil"/>
          <w:bottom w:val="nil"/>
          <w:right w:val="nil"/>
          <w:between w:val="nil"/>
        </w:pBdr>
        <w:spacing w:line="240" w:lineRule="auto"/>
        <w:jc w:val="both"/>
        <w:rPr>
          <w:b/>
          <w:color w:val="244061" w:themeColor="accent1" w:themeShade="80"/>
          <w:sz w:val="28"/>
          <w:szCs w:val="28"/>
        </w:rPr>
      </w:pPr>
      <w:r w:rsidRPr="00691AAD">
        <w:rPr>
          <w:b/>
          <w:color w:val="244061" w:themeColor="accent1" w:themeShade="80"/>
          <w:sz w:val="28"/>
          <w:szCs w:val="28"/>
        </w:rPr>
        <w:t>Recommandations &amp; Pratiques responsables :</w:t>
      </w:r>
    </w:p>
    <w:p w14:paraId="00000043" w14:textId="77777777" w:rsidR="00773DC3" w:rsidRDefault="00773DC3">
      <w:pPr>
        <w:pBdr>
          <w:top w:val="nil"/>
          <w:left w:val="nil"/>
          <w:bottom w:val="nil"/>
          <w:right w:val="nil"/>
          <w:between w:val="nil"/>
        </w:pBdr>
        <w:spacing w:line="240" w:lineRule="auto"/>
        <w:jc w:val="both"/>
        <w:rPr>
          <w:b/>
        </w:rPr>
      </w:pPr>
    </w:p>
    <w:p w14:paraId="00000044" w14:textId="70D63524" w:rsidR="00773DC3" w:rsidRDefault="00040186">
      <w:pPr>
        <w:pBdr>
          <w:top w:val="nil"/>
          <w:left w:val="nil"/>
          <w:bottom w:val="nil"/>
          <w:right w:val="nil"/>
          <w:between w:val="nil"/>
        </w:pBdr>
        <w:spacing w:line="240" w:lineRule="auto"/>
        <w:ind w:left="540"/>
        <w:jc w:val="both"/>
      </w:pPr>
      <w:r>
        <w:t>Composante de fait de la formation du prix, la stimulation positive ou négat</w:t>
      </w:r>
      <w:r w:rsidR="009E5661">
        <w:t xml:space="preserve">ive du sous-traitant ne peut </w:t>
      </w:r>
      <w:r>
        <w:t>se faire au détriment de l’équilibre économique global du contrat. Compte tenu de la rentabilité observée du secteur et des répercussions économiques d’un mécanisme déséqu</w:t>
      </w:r>
      <w:r w:rsidR="00B745AA">
        <w:t>ilibré, il convient de</w:t>
      </w:r>
      <w:r>
        <w:t xml:space="preserve"> :</w:t>
      </w:r>
    </w:p>
    <w:p w14:paraId="64C1933F" w14:textId="77777777" w:rsidR="00D76136" w:rsidRDefault="00D76136">
      <w:pPr>
        <w:pBdr>
          <w:top w:val="nil"/>
          <w:left w:val="nil"/>
          <w:bottom w:val="nil"/>
          <w:right w:val="nil"/>
          <w:between w:val="nil"/>
        </w:pBdr>
        <w:spacing w:line="240" w:lineRule="auto"/>
        <w:ind w:left="540"/>
        <w:jc w:val="both"/>
      </w:pPr>
    </w:p>
    <w:p w14:paraId="304268F4" w14:textId="2DC49165" w:rsidR="00EB53FD" w:rsidRDefault="003E2D05" w:rsidP="004F0895">
      <w:pPr>
        <w:pBdr>
          <w:top w:val="nil"/>
          <w:left w:val="nil"/>
          <w:bottom w:val="nil"/>
          <w:right w:val="nil"/>
          <w:between w:val="nil"/>
        </w:pBdr>
        <w:spacing w:line="240" w:lineRule="auto"/>
        <w:ind w:left="540"/>
        <w:jc w:val="both"/>
      </w:pPr>
      <w:r w:rsidRPr="004F0895">
        <w:t>-</w:t>
      </w:r>
      <w:r w:rsidR="007C2C67" w:rsidRPr="004F0895">
        <w:t xml:space="preserve"> </w:t>
      </w:r>
      <w:r w:rsidR="009E5661" w:rsidRPr="004F0895">
        <w:t>Veiller à ce que le système de stimulation ne soit pas constitutif de la rémunération du prestataire au point de devoir ê</w:t>
      </w:r>
      <w:r w:rsidR="0023008B" w:rsidRPr="004F0895">
        <w:t>tre positif pour couvrir les coû</w:t>
      </w:r>
      <w:r w:rsidR="009E5661" w:rsidRPr="004F0895">
        <w:t>ts de production engagés,</w:t>
      </w:r>
    </w:p>
    <w:p w14:paraId="690AA808" w14:textId="77777777" w:rsidR="00D76136" w:rsidRPr="004F0895" w:rsidRDefault="00D76136" w:rsidP="004F0895">
      <w:pPr>
        <w:pBdr>
          <w:top w:val="nil"/>
          <w:left w:val="nil"/>
          <w:bottom w:val="nil"/>
          <w:right w:val="nil"/>
          <w:between w:val="nil"/>
        </w:pBdr>
        <w:spacing w:line="240" w:lineRule="auto"/>
        <w:ind w:left="540"/>
        <w:jc w:val="both"/>
      </w:pPr>
    </w:p>
    <w:p w14:paraId="00000046" w14:textId="713ACAC0" w:rsidR="00773DC3" w:rsidRDefault="00EB53FD" w:rsidP="004F0895">
      <w:pPr>
        <w:pBdr>
          <w:top w:val="nil"/>
          <w:left w:val="nil"/>
          <w:bottom w:val="nil"/>
          <w:right w:val="nil"/>
          <w:between w:val="nil"/>
        </w:pBdr>
        <w:spacing w:line="240" w:lineRule="auto"/>
        <w:ind w:left="540"/>
        <w:jc w:val="both"/>
      </w:pPr>
      <w:r w:rsidRPr="004F0895">
        <w:t xml:space="preserve">- </w:t>
      </w:r>
      <w:r w:rsidR="007C2C67">
        <w:t>Respecter une parfaite symétrie</w:t>
      </w:r>
      <w:r w:rsidR="00040186">
        <w:t xml:space="preserve"> </w:t>
      </w:r>
      <w:r w:rsidR="009E5661">
        <w:t xml:space="preserve">d’amplitude </w:t>
      </w:r>
      <w:r w:rsidR="00040186">
        <w:t>de</w:t>
      </w:r>
      <w:r w:rsidR="007C2C67">
        <w:t>s</w:t>
      </w:r>
      <w:r w:rsidR="00040186">
        <w:t xml:space="preserve"> malus</w:t>
      </w:r>
      <w:r w:rsidR="007C2C67">
        <w:t xml:space="preserve"> et bonus</w:t>
      </w:r>
      <w:r w:rsidR="00040186">
        <w:t>,</w:t>
      </w:r>
    </w:p>
    <w:p w14:paraId="7781130B" w14:textId="77777777" w:rsidR="00D76136" w:rsidRPr="004F0895" w:rsidRDefault="00D76136" w:rsidP="004F0895">
      <w:pPr>
        <w:pBdr>
          <w:top w:val="nil"/>
          <w:left w:val="nil"/>
          <w:bottom w:val="nil"/>
          <w:right w:val="nil"/>
          <w:between w:val="nil"/>
        </w:pBdr>
        <w:spacing w:line="240" w:lineRule="auto"/>
        <w:ind w:left="540"/>
        <w:jc w:val="both"/>
      </w:pPr>
    </w:p>
    <w:p w14:paraId="00000048" w14:textId="58DD1AAA" w:rsidR="00773DC3" w:rsidRDefault="007C2C67" w:rsidP="004F0895">
      <w:pPr>
        <w:pBdr>
          <w:top w:val="nil"/>
          <w:left w:val="nil"/>
          <w:bottom w:val="nil"/>
          <w:right w:val="nil"/>
          <w:between w:val="nil"/>
        </w:pBdr>
        <w:spacing w:line="240" w:lineRule="auto"/>
        <w:ind w:left="540"/>
        <w:jc w:val="both"/>
      </w:pPr>
      <w:r>
        <w:t>- P</w:t>
      </w:r>
      <w:r w:rsidR="00040186">
        <w:t>lafonner l</w:t>
      </w:r>
      <w:r>
        <w:t xml:space="preserve">e cumul des malus et autres pénalités </w:t>
      </w:r>
      <w:r w:rsidR="009E5661">
        <w:t xml:space="preserve">contractuelles </w:t>
      </w:r>
      <w:r w:rsidR="00266923" w:rsidRPr="004F0895">
        <w:t>y compris forfaitaires</w:t>
      </w:r>
      <w:r w:rsidR="00EB53FD">
        <w:t xml:space="preserve"> </w:t>
      </w:r>
      <w:r w:rsidR="009170CE">
        <w:t>à un</w:t>
      </w:r>
      <w:r>
        <w:t xml:space="preserve"> maximum </w:t>
      </w:r>
      <w:r w:rsidR="009170CE">
        <w:t>de</w:t>
      </w:r>
      <w:r>
        <w:t xml:space="preserve"> </w:t>
      </w:r>
      <w:r w:rsidR="00040186">
        <w:t xml:space="preserve">5% </w:t>
      </w:r>
      <w:r w:rsidR="009E5661">
        <w:t>du chiffre d’affaire</w:t>
      </w:r>
      <w:r w:rsidR="00691AAD">
        <w:t xml:space="preserve"> de production</w:t>
      </w:r>
      <w:r w:rsidR="009170CE">
        <w:t>,</w:t>
      </w:r>
    </w:p>
    <w:p w14:paraId="3554CAD8" w14:textId="77777777" w:rsidR="00D76136" w:rsidRDefault="00D76136" w:rsidP="004F0895">
      <w:pPr>
        <w:pBdr>
          <w:top w:val="nil"/>
          <w:left w:val="nil"/>
          <w:bottom w:val="nil"/>
          <w:right w:val="nil"/>
          <w:between w:val="nil"/>
        </w:pBdr>
        <w:spacing w:line="240" w:lineRule="auto"/>
        <w:ind w:left="540"/>
        <w:jc w:val="both"/>
      </w:pPr>
    </w:p>
    <w:p w14:paraId="0000004A" w14:textId="10F68734" w:rsidR="00773DC3" w:rsidRDefault="007C2C67" w:rsidP="004F0895">
      <w:pPr>
        <w:pBdr>
          <w:top w:val="nil"/>
          <w:left w:val="nil"/>
          <w:bottom w:val="nil"/>
          <w:right w:val="nil"/>
          <w:between w:val="nil"/>
        </w:pBdr>
        <w:spacing w:line="240" w:lineRule="auto"/>
        <w:ind w:left="540"/>
        <w:jc w:val="both"/>
      </w:pPr>
      <w:r w:rsidRPr="004F0895">
        <w:t>- Respecter</w:t>
      </w:r>
      <w:r w:rsidR="00040186" w:rsidRPr="004F0895">
        <w:t xml:space="preserve"> un </w:t>
      </w:r>
      <w:r w:rsidR="009170CE" w:rsidRPr="004F0895">
        <w:t>préavis de 3 mois</w:t>
      </w:r>
      <w:r w:rsidR="00DC77C3" w:rsidRPr="004F0895">
        <w:t xml:space="preserve"> entre la notification et</w:t>
      </w:r>
      <w:r w:rsidR="009170CE" w:rsidRPr="004F0895">
        <w:t xml:space="preserve"> l’évaluation financière de tous nouveaux indicateurs qualitatifs, quantitatifs ou commerciaux</w:t>
      </w:r>
      <w:r w:rsidR="0023008B" w:rsidRPr="004F0895">
        <w:t>.</w:t>
      </w:r>
    </w:p>
    <w:p w14:paraId="5CAD9B59" w14:textId="77777777" w:rsidR="00D76136" w:rsidRPr="004F0895" w:rsidRDefault="00D76136" w:rsidP="004F0895">
      <w:pPr>
        <w:pBdr>
          <w:top w:val="nil"/>
          <w:left w:val="nil"/>
          <w:bottom w:val="nil"/>
          <w:right w:val="nil"/>
          <w:between w:val="nil"/>
        </w:pBdr>
        <w:spacing w:line="240" w:lineRule="auto"/>
        <w:ind w:left="540"/>
        <w:jc w:val="both"/>
      </w:pPr>
    </w:p>
    <w:p w14:paraId="0000004C" w14:textId="0B2D8DC9" w:rsidR="00773DC3" w:rsidRDefault="009170CE" w:rsidP="004F0895">
      <w:pPr>
        <w:pBdr>
          <w:top w:val="nil"/>
          <w:left w:val="nil"/>
          <w:bottom w:val="nil"/>
          <w:right w:val="nil"/>
          <w:between w:val="nil"/>
        </w:pBdr>
        <w:spacing w:line="240" w:lineRule="auto"/>
        <w:ind w:left="540"/>
        <w:jc w:val="both"/>
      </w:pPr>
      <w:r>
        <w:t>- N</w:t>
      </w:r>
      <w:r w:rsidR="00040186">
        <w:t>eutraliser les malus</w:t>
      </w:r>
      <w:r>
        <w:t xml:space="preserve"> et pénalités</w:t>
      </w:r>
      <w:r w:rsidR="00040186">
        <w:t xml:space="preserve"> pendant les périodes de montée e</w:t>
      </w:r>
      <w:r w:rsidR="009E5661">
        <w:t>n charge (initiales ou ponctuelle</w:t>
      </w:r>
      <w:r w:rsidR="00040186">
        <w:t>s),</w:t>
      </w:r>
    </w:p>
    <w:p w14:paraId="6DA5136F" w14:textId="77777777" w:rsidR="00D76136" w:rsidRDefault="00D76136" w:rsidP="004F0895">
      <w:pPr>
        <w:pBdr>
          <w:top w:val="nil"/>
          <w:left w:val="nil"/>
          <w:bottom w:val="nil"/>
          <w:right w:val="nil"/>
          <w:between w:val="nil"/>
        </w:pBdr>
        <w:spacing w:line="240" w:lineRule="auto"/>
        <w:ind w:left="540"/>
        <w:jc w:val="both"/>
      </w:pPr>
    </w:p>
    <w:p w14:paraId="0000004E" w14:textId="7EBE686B" w:rsidR="00773DC3" w:rsidRPr="004F0895" w:rsidRDefault="009E5661" w:rsidP="004F0895">
      <w:pPr>
        <w:pBdr>
          <w:top w:val="nil"/>
          <w:left w:val="nil"/>
          <w:bottom w:val="nil"/>
          <w:right w:val="nil"/>
          <w:between w:val="nil"/>
        </w:pBdr>
        <w:spacing w:line="240" w:lineRule="auto"/>
        <w:ind w:left="540"/>
        <w:jc w:val="both"/>
      </w:pPr>
      <w:r w:rsidRPr="004F0895">
        <w:t>- Proscrire l</w:t>
      </w:r>
      <w:r w:rsidR="00040186" w:rsidRPr="004F0895">
        <w:t>’imputat</w:t>
      </w:r>
      <w:r w:rsidRPr="004F0895">
        <w:t xml:space="preserve">ion et la compensation des malus et pénalités </w:t>
      </w:r>
      <w:r w:rsidR="00040186" w:rsidRPr="004F0895">
        <w:t xml:space="preserve">unilatéralement par le </w:t>
      </w:r>
      <w:r w:rsidR="0023008B" w:rsidRPr="004F0895">
        <w:t>donneur d’ordre</w:t>
      </w:r>
      <w:r w:rsidR="00040186" w:rsidRPr="004F0895">
        <w:t>.</w:t>
      </w:r>
    </w:p>
    <w:p w14:paraId="06BBF605" w14:textId="70E78B19" w:rsidR="00663E66" w:rsidRDefault="00663E66">
      <w:pPr>
        <w:pBdr>
          <w:top w:val="nil"/>
          <w:left w:val="nil"/>
          <w:bottom w:val="nil"/>
          <w:right w:val="nil"/>
          <w:between w:val="nil"/>
        </w:pBdr>
        <w:spacing w:line="240" w:lineRule="auto"/>
        <w:ind w:left="540"/>
        <w:jc w:val="both"/>
      </w:pPr>
    </w:p>
    <w:p w14:paraId="7DD02EFF" w14:textId="77777777" w:rsidR="00D76136" w:rsidRDefault="00D76136">
      <w:pPr>
        <w:pBdr>
          <w:top w:val="nil"/>
          <w:left w:val="nil"/>
          <w:bottom w:val="nil"/>
          <w:right w:val="nil"/>
          <w:between w:val="nil"/>
        </w:pBdr>
        <w:spacing w:line="240" w:lineRule="auto"/>
        <w:ind w:left="540"/>
        <w:jc w:val="both"/>
      </w:pPr>
    </w:p>
    <w:p w14:paraId="61AED770" w14:textId="77777777" w:rsidR="00D76136" w:rsidRDefault="00D76136" w:rsidP="00255CB1">
      <w:pPr>
        <w:pBdr>
          <w:top w:val="nil"/>
          <w:left w:val="nil"/>
          <w:bottom w:val="nil"/>
          <w:right w:val="nil"/>
          <w:between w:val="nil"/>
        </w:pBdr>
        <w:spacing w:line="240" w:lineRule="auto"/>
        <w:ind w:left="540"/>
        <w:jc w:val="both"/>
      </w:pPr>
    </w:p>
    <w:p w14:paraId="0F6DA21E" w14:textId="77777777" w:rsidR="00D76136" w:rsidRDefault="00D76136" w:rsidP="00255CB1">
      <w:pPr>
        <w:pBdr>
          <w:top w:val="nil"/>
          <w:left w:val="nil"/>
          <w:bottom w:val="nil"/>
          <w:right w:val="nil"/>
          <w:between w:val="nil"/>
        </w:pBdr>
        <w:spacing w:line="240" w:lineRule="auto"/>
        <w:ind w:left="540"/>
        <w:jc w:val="both"/>
      </w:pPr>
    </w:p>
    <w:p w14:paraId="186628E7" w14:textId="0B8BDB6D" w:rsidR="00255CB1" w:rsidRDefault="00040186" w:rsidP="00255CB1">
      <w:pPr>
        <w:pBdr>
          <w:top w:val="nil"/>
          <w:left w:val="nil"/>
          <w:bottom w:val="nil"/>
          <w:right w:val="nil"/>
          <w:between w:val="nil"/>
        </w:pBdr>
        <w:spacing w:line="240" w:lineRule="auto"/>
        <w:ind w:left="540"/>
        <w:jc w:val="both"/>
      </w:pPr>
      <w:r>
        <w:t xml:space="preserve">Dans le cas de prestations multi-sourcées (plusieurs Prestataires </w:t>
      </w:r>
      <w:r w:rsidR="00266923">
        <w:t xml:space="preserve">opérant simultanément </w:t>
      </w:r>
      <w:r>
        <w:t xml:space="preserve">sur des activités </w:t>
      </w:r>
      <w:r w:rsidR="009E5661">
        <w:t xml:space="preserve">similaires ou </w:t>
      </w:r>
      <w:r>
        <w:t xml:space="preserve">comparables) le </w:t>
      </w:r>
      <w:r w:rsidR="0023008B">
        <w:t>donneur d’ordre</w:t>
      </w:r>
      <w:r>
        <w:t xml:space="preserve"> pourra s’assurer de l’équité de son système d’incentive en vérifiant sur une période raisonnable et représentative (trimestre / semestre) que la somme </w:t>
      </w:r>
      <w:r w:rsidR="00266923">
        <w:t xml:space="preserve">cumulée </w:t>
      </w:r>
      <w:r>
        <w:t>des malus appliqués ne dépasse pas la somme</w:t>
      </w:r>
      <w:r w:rsidR="00266923">
        <w:t xml:space="preserve"> cumulée</w:t>
      </w:r>
      <w:r>
        <w:t xml:space="preserve"> de</w:t>
      </w:r>
      <w:r w:rsidR="00266923">
        <w:t>s</w:t>
      </w:r>
      <w:r w:rsidR="00255CB1">
        <w:t xml:space="preserve"> bonus</w:t>
      </w:r>
      <w:r w:rsidR="009E5661">
        <w:t>.</w:t>
      </w:r>
    </w:p>
    <w:p w14:paraId="0598200C" w14:textId="77777777" w:rsidR="0023008B" w:rsidRDefault="0023008B" w:rsidP="00255CB1">
      <w:pPr>
        <w:pBdr>
          <w:top w:val="nil"/>
          <w:left w:val="nil"/>
          <w:bottom w:val="nil"/>
          <w:right w:val="nil"/>
          <w:between w:val="nil"/>
        </w:pBdr>
        <w:spacing w:line="240" w:lineRule="auto"/>
        <w:ind w:left="540"/>
        <w:jc w:val="both"/>
      </w:pPr>
    </w:p>
    <w:p w14:paraId="3EE8222D" w14:textId="7CB80F01" w:rsidR="009E5661" w:rsidRDefault="0023008B" w:rsidP="00255CB1">
      <w:pPr>
        <w:pBdr>
          <w:top w:val="nil"/>
          <w:left w:val="nil"/>
          <w:bottom w:val="nil"/>
          <w:right w:val="nil"/>
          <w:between w:val="nil"/>
        </w:pBdr>
        <w:spacing w:line="240" w:lineRule="auto"/>
        <w:ind w:left="540"/>
        <w:jc w:val="both"/>
      </w:pPr>
      <w:r w:rsidRPr="004F0895">
        <w:t>De la même façon, la situation économique d’un prestataire en situation</w:t>
      </w:r>
      <w:r w:rsidR="00DC77C3" w:rsidRPr="004F0895">
        <w:t xml:space="preserve"> fréquente</w:t>
      </w:r>
      <w:r w:rsidRPr="004F0895">
        <w:t xml:space="preserve"> de bonus mais subissant un déséquilibre économique démontré du contrat devra être prise en compte lors des comités stratégiques.</w:t>
      </w:r>
    </w:p>
    <w:p w14:paraId="3C249106" w14:textId="61DC702A" w:rsidR="00801B44" w:rsidRDefault="00801B44" w:rsidP="00255CB1">
      <w:pPr>
        <w:pBdr>
          <w:top w:val="nil"/>
          <w:left w:val="nil"/>
          <w:bottom w:val="nil"/>
          <w:right w:val="nil"/>
          <w:between w:val="nil"/>
        </w:pBdr>
        <w:spacing w:line="240" w:lineRule="auto"/>
        <w:ind w:left="540"/>
        <w:jc w:val="both"/>
      </w:pPr>
    </w:p>
    <w:p w14:paraId="60C7E50E" w14:textId="6FAB3634" w:rsidR="00801B44" w:rsidRDefault="00801B44" w:rsidP="00255CB1">
      <w:pPr>
        <w:pBdr>
          <w:top w:val="nil"/>
          <w:left w:val="nil"/>
          <w:bottom w:val="nil"/>
          <w:right w:val="nil"/>
          <w:between w:val="nil"/>
        </w:pBdr>
        <w:spacing w:line="240" w:lineRule="auto"/>
        <w:ind w:left="540"/>
        <w:jc w:val="both"/>
      </w:pPr>
    </w:p>
    <w:p w14:paraId="2D91E766" w14:textId="77777777" w:rsidR="00801B44" w:rsidRDefault="00801B44" w:rsidP="00801B44">
      <w:pPr>
        <w:pBdr>
          <w:top w:val="nil"/>
          <w:left w:val="nil"/>
          <w:bottom w:val="nil"/>
          <w:right w:val="nil"/>
          <w:between w:val="nil"/>
        </w:pBdr>
        <w:spacing w:line="240" w:lineRule="auto"/>
        <w:jc w:val="both"/>
        <w:rPr>
          <w:b/>
          <w:color w:val="244061" w:themeColor="accent1" w:themeShade="80"/>
          <w:sz w:val="28"/>
          <w:szCs w:val="28"/>
        </w:rPr>
      </w:pPr>
    </w:p>
    <w:p w14:paraId="6A2F6823" w14:textId="77777777" w:rsidR="00D76136" w:rsidRDefault="00D76136" w:rsidP="00D76136">
      <w:pPr>
        <w:pBdr>
          <w:top w:val="nil"/>
          <w:left w:val="nil"/>
          <w:bottom w:val="nil"/>
          <w:right w:val="nil"/>
          <w:between w:val="nil"/>
        </w:pBdr>
        <w:shd w:val="clear" w:color="auto" w:fill="D9D9D9" w:themeFill="background1" w:themeFillShade="D9"/>
        <w:spacing w:line="240" w:lineRule="auto"/>
        <w:jc w:val="both"/>
        <w:rPr>
          <w:b/>
          <w:color w:val="244061" w:themeColor="accent1" w:themeShade="80"/>
          <w:sz w:val="28"/>
          <w:szCs w:val="28"/>
        </w:rPr>
      </w:pPr>
    </w:p>
    <w:p w14:paraId="2495265A" w14:textId="3E98EBF8" w:rsidR="00801B44" w:rsidRPr="00D76136" w:rsidRDefault="00801B44" w:rsidP="00D76136">
      <w:pPr>
        <w:pBdr>
          <w:top w:val="nil"/>
          <w:left w:val="nil"/>
          <w:bottom w:val="nil"/>
          <w:right w:val="nil"/>
          <w:between w:val="nil"/>
        </w:pBdr>
        <w:shd w:val="clear" w:color="auto" w:fill="D9D9D9" w:themeFill="background1" w:themeFillShade="D9"/>
        <w:spacing w:line="240" w:lineRule="auto"/>
        <w:jc w:val="both"/>
        <w:rPr>
          <w:b/>
          <w:color w:val="244061" w:themeColor="accent1" w:themeShade="80"/>
          <w:sz w:val="28"/>
          <w:szCs w:val="28"/>
        </w:rPr>
      </w:pPr>
      <w:r w:rsidRPr="00D76136">
        <w:rPr>
          <w:b/>
          <w:color w:val="244061" w:themeColor="accent1" w:themeShade="80"/>
          <w:sz w:val="28"/>
          <w:szCs w:val="28"/>
        </w:rPr>
        <w:t>En situation de crise</w:t>
      </w:r>
      <w:r w:rsidR="00A27192">
        <w:rPr>
          <w:b/>
          <w:color w:val="244061" w:themeColor="accent1" w:themeShade="80"/>
          <w:sz w:val="28"/>
          <w:szCs w:val="28"/>
        </w:rPr>
        <w:t xml:space="preserve"> sanitaire</w:t>
      </w:r>
      <w:r w:rsidRPr="00D76136">
        <w:rPr>
          <w:b/>
          <w:color w:val="244061" w:themeColor="accent1" w:themeShade="80"/>
          <w:sz w:val="28"/>
          <w:szCs w:val="28"/>
        </w:rPr>
        <w:t xml:space="preserve">, s’appliquant uniquement aux activités de télétravail : </w:t>
      </w:r>
    </w:p>
    <w:p w14:paraId="1548F1DC" w14:textId="2A7351A6" w:rsidR="00801B44" w:rsidRPr="00D76136" w:rsidRDefault="00801B44" w:rsidP="00D76136">
      <w:pPr>
        <w:pBdr>
          <w:top w:val="nil"/>
          <w:left w:val="nil"/>
          <w:bottom w:val="nil"/>
          <w:right w:val="nil"/>
          <w:between w:val="nil"/>
        </w:pBdr>
        <w:shd w:val="clear" w:color="auto" w:fill="D9D9D9" w:themeFill="background1" w:themeFillShade="D9"/>
        <w:spacing w:line="240" w:lineRule="auto"/>
        <w:jc w:val="both"/>
        <w:rPr>
          <w:b/>
          <w:color w:val="244061" w:themeColor="accent1" w:themeShade="80"/>
          <w:sz w:val="28"/>
          <w:szCs w:val="28"/>
        </w:rPr>
      </w:pPr>
    </w:p>
    <w:p w14:paraId="77BA881C" w14:textId="37BB0738" w:rsidR="00801B44" w:rsidRPr="00D76136" w:rsidRDefault="00801B44" w:rsidP="00D76136">
      <w:pPr>
        <w:pStyle w:val="Commentaire"/>
        <w:shd w:val="clear" w:color="auto" w:fill="D9D9D9" w:themeFill="background1" w:themeFillShade="D9"/>
        <w:rPr>
          <w:sz w:val="22"/>
          <w:szCs w:val="22"/>
        </w:rPr>
      </w:pPr>
      <w:r w:rsidRPr="00D76136">
        <w:rPr>
          <w:sz w:val="22"/>
          <w:szCs w:val="22"/>
        </w:rPr>
        <w:t>Il est recommandé qu’en situation de crise et compte tenu des nombreux facteurs exogènes pouvant perturber l’activité les mécanismes de bonus, malus et pénalités sont gelés pour les activités opérées en télétravail.</w:t>
      </w:r>
    </w:p>
    <w:p w14:paraId="1D10B687" w14:textId="77777777" w:rsidR="00D76136" w:rsidRPr="00D76136" w:rsidRDefault="00D76136" w:rsidP="00D76136">
      <w:pPr>
        <w:pStyle w:val="Commentaire"/>
        <w:shd w:val="clear" w:color="auto" w:fill="D9D9D9" w:themeFill="background1" w:themeFillShade="D9"/>
      </w:pPr>
    </w:p>
    <w:p w14:paraId="25102725" w14:textId="77777777" w:rsidR="00801B44" w:rsidRDefault="00801B44" w:rsidP="00801B44">
      <w:pPr>
        <w:pBdr>
          <w:top w:val="nil"/>
          <w:left w:val="nil"/>
          <w:bottom w:val="nil"/>
          <w:right w:val="nil"/>
          <w:between w:val="nil"/>
        </w:pBdr>
        <w:spacing w:line="240" w:lineRule="auto"/>
        <w:jc w:val="both"/>
        <w:rPr>
          <w:b/>
          <w:color w:val="244061" w:themeColor="accent1" w:themeShade="80"/>
          <w:sz w:val="28"/>
          <w:szCs w:val="28"/>
        </w:rPr>
      </w:pPr>
    </w:p>
    <w:p w14:paraId="164B6D38" w14:textId="66A9A86D" w:rsidR="00801B44" w:rsidRDefault="00801B44" w:rsidP="00801B44">
      <w:pPr>
        <w:pBdr>
          <w:top w:val="nil"/>
          <w:left w:val="nil"/>
          <w:bottom w:val="nil"/>
          <w:right w:val="nil"/>
          <w:between w:val="nil"/>
        </w:pBdr>
        <w:spacing w:line="240" w:lineRule="auto"/>
        <w:jc w:val="both"/>
      </w:pPr>
      <w:r>
        <w:br w:type="page"/>
      </w:r>
    </w:p>
    <w:p w14:paraId="674E43FF" w14:textId="77777777" w:rsidR="009E5661" w:rsidRDefault="009E5661" w:rsidP="00255CB1">
      <w:pPr>
        <w:pBdr>
          <w:top w:val="nil"/>
          <w:left w:val="nil"/>
          <w:bottom w:val="nil"/>
          <w:right w:val="nil"/>
          <w:between w:val="nil"/>
        </w:pBdr>
        <w:spacing w:line="240" w:lineRule="auto"/>
        <w:ind w:left="540"/>
        <w:jc w:val="both"/>
      </w:pPr>
    </w:p>
    <w:p w14:paraId="00000053" w14:textId="30BAB214" w:rsidR="00773DC3" w:rsidRPr="00EB53FD" w:rsidRDefault="00255CB1" w:rsidP="00430FED">
      <w:pPr>
        <w:pStyle w:val="Paragraphedeliste"/>
        <w:numPr>
          <w:ilvl w:val="0"/>
          <w:numId w:val="6"/>
        </w:numPr>
        <w:pBdr>
          <w:top w:val="nil"/>
          <w:left w:val="nil"/>
          <w:bottom w:val="nil"/>
          <w:right w:val="nil"/>
          <w:between w:val="nil"/>
        </w:pBdr>
        <w:spacing w:line="240" w:lineRule="auto"/>
        <w:jc w:val="both"/>
        <w:rPr>
          <w:b/>
          <w:color w:val="244061" w:themeColor="accent1" w:themeShade="80"/>
          <w:sz w:val="36"/>
          <w:szCs w:val="36"/>
        </w:rPr>
      </w:pPr>
      <w:r w:rsidRPr="00BA3708">
        <w:rPr>
          <w:b/>
          <w:color w:val="244061" w:themeColor="accent1" w:themeShade="80"/>
          <w:sz w:val="36"/>
          <w:szCs w:val="36"/>
        </w:rPr>
        <w:t xml:space="preserve">De la nécessité </w:t>
      </w:r>
      <w:r w:rsidR="009E5661">
        <w:rPr>
          <w:b/>
          <w:color w:val="244061" w:themeColor="accent1" w:themeShade="80"/>
          <w:sz w:val="36"/>
          <w:szCs w:val="36"/>
        </w:rPr>
        <w:t xml:space="preserve">du respect </w:t>
      </w:r>
      <w:r w:rsidRPr="00BA3708">
        <w:rPr>
          <w:b/>
          <w:color w:val="244061" w:themeColor="accent1" w:themeShade="80"/>
          <w:sz w:val="36"/>
          <w:szCs w:val="36"/>
        </w:rPr>
        <w:t>d’un</w:t>
      </w:r>
      <w:r w:rsidR="00BA3708" w:rsidRPr="00BA3708">
        <w:rPr>
          <w:b/>
          <w:color w:val="244061" w:themeColor="accent1" w:themeShade="80"/>
          <w:sz w:val="36"/>
          <w:szCs w:val="36"/>
        </w:rPr>
        <w:t xml:space="preserve"> prix socialement responsable</w:t>
      </w:r>
      <w:r w:rsidR="00040186" w:rsidRPr="00BA3708">
        <w:rPr>
          <w:b/>
          <w:color w:val="244061" w:themeColor="accent1" w:themeShade="80"/>
          <w:sz w:val="36"/>
          <w:szCs w:val="36"/>
        </w:rPr>
        <w:t xml:space="preserve"> </w:t>
      </w:r>
    </w:p>
    <w:p w14:paraId="136D28FD" w14:textId="77777777" w:rsidR="00691AAD" w:rsidRDefault="00691AAD">
      <w:pPr>
        <w:pBdr>
          <w:top w:val="nil"/>
          <w:left w:val="nil"/>
          <w:bottom w:val="nil"/>
          <w:right w:val="nil"/>
          <w:between w:val="nil"/>
        </w:pBdr>
        <w:spacing w:line="240" w:lineRule="auto"/>
        <w:jc w:val="both"/>
        <w:rPr>
          <w:b/>
          <w:color w:val="33339B"/>
          <w:sz w:val="36"/>
          <w:szCs w:val="36"/>
        </w:rPr>
      </w:pPr>
    </w:p>
    <w:p w14:paraId="5DCA2443" w14:textId="67E0ECE6" w:rsidR="00691AAD" w:rsidRPr="00691AAD" w:rsidRDefault="00691AAD">
      <w:pPr>
        <w:pBdr>
          <w:top w:val="nil"/>
          <w:left w:val="nil"/>
          <w:bottom w:val="nil"/>
          <w:right w:val="nil"/>
          <w:between w:val="nil"/>
        </w:pBdr>
        <w:spacing w:line="240" w:lineRule="auto"/>
        <w:jc w:val="both"/>
        <w:rPr>
          <w:b/>
          <w:color w:val="244061" w:themeColor="accent1" w:themeShade="80"/>
          <w:sz w:val="28"/>
          <w:szCs w:val="28"/>
        </w:rPr>
      </w:pPr>
      <w:r w:rsidRPr="00691AAD">
        <w:rPr>
          <w:b/>
          <w:color w:val="244061" w:themeColor="accent1" w:themeShade="80"/>
          <w:sz w:val="28"/>
          <w:szCs w:val="28"/>
        </w:rPr>
        <w:t>Principe</w:t>
      </w:r>
      <w:r w:rsidR="00FC7D4D">
        <w:rPr>
          <w:b/>
          <w:color w:val="244061" w:themeColor="accent1" w:themeShade="80"/>
          <w:sz w:val="28"/>
          <w:szCs w:val="28"/>
        </w:rPr>
        <w:t> :</w:t>
      </w:r>
    </w:p>
    <w:p w14:paraId="00000054" w14:textId="77777777" w:rsidR="00773DC3" w:rsidRDefault="00773DC3">
      <w:pPr>
        <w:pBdr>
          <w:top w:val="nil"/>
          <w:left w:val="nil"/>
          <w:bottom w:val="nil"/>
          <w:right w:val="nil"/>
          <w:between w:val="nil"/>
        </w:pBdr>
        <w:spacing w:line="240" w:lineRule="auto"/>
        <w:jc w:val="both"/>
      </w:pPr>
    </w:p>
    <w:p w14:paraId="00000055" w14:textId="1073CC09" w:rsidR="00773DC3" w:rsidRDefault="00040186">
      <w:pPr>
        <w:pBdr>
          <w:top w:val="nil"/>
          <w:left w:val="nil"/>
          <w:bottom w:val="nil"/>
          <w:right w:val="nil"/>
          <w:between w:val="nil"/>
        </w:pBdr>
        <w:spacing w:line="240" w:lineRule="auto"/>
        <w:ind w:left="540"/>
        <w:jc w:val="both"/>
        <w:rPr>
          <w:b/>
        </w:rPr>
      </w:pPr>
      <w:r>
        <w:t xml:space="preserve">La nécessaire excellence en matière de relation client s’appuie sur les ressources humaines qui s’investissent dans la valorisation </w:t>
      </w:r>
      <w:r w:rsidR="009E5661">
        <w:t>des marques qu’elles représentent</w:t>
      </w:r>
      <w:r>
        <w:t xml:space="preserve">. </w:t>
      </w:r>
    </w:p>
    <w:p w14:paraId="00000056" w14:textId="77777777" w:rsidR="00773DC3" w:rsidRDefault="00773DC3">
      <w:pPr>
        <w:pBdr>
          <w:top w:val="nil"/>
          <w:left w:val="nil"/>
          <w:bottom w:val="nil"/>
          <w:right w:val="nil"/>
          <w:between w:val="nil"/>
        </w:pBdr>
        <w:spacing w:line="240" w:lineRule="auto"/>
        <w:ind w:left="540"/>
        <w:jc w:val="both"/>
      </w:pPr>
    </w:p>
    <w:p w14:paraId="00000057" w14:textId="48FC2759" w:rsidR="00773DC3" w:rsidRDefault="00040186">
      <w:pPr>
        <w:pBdr>
          <w:top w:val="nil"/>
          <w:left w:val="nil"/>
          <w:bottom w:val="nil"/>
          <w:right w:val="nil"/>
          <w:between w:val="nil"/>
        </w:pBdr>
        <w:spacing w:line="240" w:lineRule="auto"/>
        <w:ind w:left="540"/>
        <w:jc w:val="both"/>
      </w:pPr>
      <w:r>
        <w:t>Quand ils sont externalisés les dispositifs performants prennent en compte des notions de RSE et ceci au bénéfice des clients finaux, des collaborateurs du Prestataire qui</w:t>
      </w:r>
      <w:r w:rsidR="009E5661">
        <w:t xml:space="preserve"> sont en charge de traiter leurs</w:t>
      </w:r>
      <w:r>
        <w:t xml:space="preserve"> demande</w:t>
      </w:r>
      <w:r w:rsidR="009E5661">
        <w:t>s</w:t>
      </w:r>
      <w:r>
        <w:t xml:space="preserve"> et des salariés internes du donneurs d’ordre qui ne doivent</w:t>
      </w:r>
      <w:r w:rsidR="009E5661">
        <w:t xml:space="preserve"> pas être exposés à un dumping social.</w:t>
      </w:r>
    </w:p>
    <w:p w14:paraId="00000058" w14:textId="77777777" w:rsidR="00773DC3" w:rsidRDefault="00773DC3">
      <w:pPr>
        <w:pBdr>
          <w:top w:val="nil"/>
          <w:left w:val="nil"/>
          <w:bottom w:val="nil"/>
          <w:right w:val="nil"/>
          <w:between w:val="nil"/>
        </w:pBdr>
        <w:spacing w:line="240" w:lineRule="auto"/>
        <w:ind w:left="540"/>
        <w:jc w:val="both"/>
      </w:pPr>
    </w:p>
    <w:p w14:paraId="00000059" w14:textId="062F7D9C" w:rsidR="00773DC3" w:rsidRDefault="00040186">
      <w:pPr>
        <w:pBdr>
          <w:top w:val="nil"/>
          <w:left w:val="nil"/>
          <w:bottom w:val="nil"/>
          <w:right w:val="nil"/>
          <w:between w:val="nil"/>
        </w:pBdr>
        <w:spacing w:line="240" w:lineRule="auto"/>
        <w:ind w:left="540"/>
        <w:jc w:val="both"/>
      </w:pPr>
      <w:r>
        <w:t>Ces pratiques responsables ont été référencées, car</w:t>
      </w:r>
      <w:r w:rsidR="00255CB1">
        <w:t xml:space="preserve">tographiées et font l’objet de différents labels </w:t>
      </w:r>
      <w:r>
        <w:t xml:space="preserve">de </w:t>
      </w:r>
      <w:r w:rsidR="00255CB1">
        <w:t xml:space="preserve">Responsabilité Sociale : LRS pour </w:t>
      </w:r>
      <w:r w:rsidR="009E5661">
        <w:t>l’INRC, Engagé RSE pour l’AFNOR …</w:t>
      </w:r>
      <w:r>
        <w:t xml:space="preserve"> Ce</w:t>
      </w:r>
      <w:r w:rsidR="00255CB1">
        <w:t>s l</w:t>
      </w:r>
      <w:r>
        <w:t>a</w:t>
      </w:r>
      <w:r w:rsidR="00255CB1">
        <w:t>bels ont prouvé leur</w:t>
      </w:r>
      <w:r>
        <w:t xml:space="preserve"> per</w:t>
      </w:r>
      <w:r w:rsidR="00255CB1">
        <w:t>tinence et leur</w:t>
      </w:r>
      <w:r>
        <w:t xml:space="preserve"> légitimité au point d’être exigé</w:t>
      </w:r>
      <w:r w:rsidR="00255CB1">
        <w:t>s contractuellement</w:t>
      </w:r>
      <w:r w:rsidR="009E5661">
        <w:t xml:space="preserve"> par certains donneurs d’ordre lors des appels d’offres et consultations.</w:t>
      </w:r>
    </w:p>
    <w:p w14:paraId="0000005A" w14:textId="77777777" w:rsidR="00773DC3" w:rsidRDefault="00773DC3">
      <w:pPr>
        <w:pBdr>
          <w:top w:val="nil"/>
          <w:left w:val="nil"/>
          <w:bottom w:val="nil"/>
          <w:right w:val="nil"/>
          <w:between w:val="nil"/>
        </w:pBdr>
        <w:spacing w:line="240" w:lineRule="auto"/>
        <w:ind w:left="540"/>
        <w:jc w:val="both"/>
      </w:pPr>
    </w:p>
    <w:p w14:paraId="0000005B" w14:textId="0710D4CA" w:rsidR="00773DC3" w:rsidRDefault="00040186">
      <w:pPr>
        <w:pBdr>
          <w:top w:val="nil"/>
          <w:left w:val="nil"/>
          <w:bottom w:val="nil"/>
          <w:right w:val="nil"/>
          <w:between w:val="nil"/>
        </w:pBdr>
        <w:spacing w:line="240" w:lineRule="auto"/>
        <w:ind w:left="540"/>
        <w:jc w:val="both"/>
      </w:pPr>
      <w:r>
        <w:t>Ces bonnes pratiques RSE qui sont plébiscitées engendrent des coûts qui impact</w:t>
      </w:r>
      <w:r w:rsidR="009E5661">
        <w:t>ent positivement la qualité et l</w:t>
      </w:r>
      <w:r>
        <w:t>a durabilité</w:t>
      </w:r>
      <w:r w:rsidR="009E5661">
        <w:t xml:space="preserve"> de la prestation</w:t>
      </w:r>
      <w:r>
        <w:t xml:space="preserve">. Un revenu minimum en deçà duquel l’intégrité et la </w:t>
      </w:r>
      <w:r w:rsidR="009E5661">
        <w:t>pérennité</w:t>
      </w:r>
      <w:r>
        <w:t xml:space="preserve"> de ces engagemen</w:t>
      </w:r>
      <w:r w:rsidR="009E5661">
        <w:t>ts ne peuvent plus être assurés est donc nécessaire en cohérence avec l’esprit d’un partenariat responsable.</w:t>
      </w:r>
    </w:p>
    <w:p w14:paraId="0000005C" w14:textId="77777777" w:rsidR="00773DC3" w:rsidRDefault="00040186">
      <w:pPr>
        <w:pBdr>
          <w:top w:val="nil"/>
          <w:left w:val="nil"/>
          <w:bottom w:val="nil"/>
          <w:right w:val="nil"/>
          <w:between w:val="nil"/>
        </w:pBdr>
        <w:spacing w:line="240" w:lineRule="auto"/>
        <w:jc w:val="both"/>
      </w:pPr>
      <w:r>
        <w:t xml:space="preserve"> </w:t>
      </w:r>
    </w:p>
    <w:p w14:paraId="0000005D" w14:textId="77777777" w:rsidR="00773DC3" w:rsidRPr="00BA3708" w:rsidRDefault="00040186">
      <w:pPr>
        <w:pBdr>
          <w:top w:val="nil"/>
          <w:left w:val="nil"/>
          <w:bottom w:val="nil"/>
          <w:right w:val="nil"/>
          <w:between w:val="nil"/>
        </w:pBdr>
        <w:spacing w:line="240" w:lineRule="auto"/>
        <w:jc w:val="both"/>
        <w:rPr>
          <w:b/>
          <w:color w:val="244061" w:themeColor="accent1" w:themeShade="80"/>
          <w:sz w:val="28"/>
          <w:szCs w:val="28"/>
        </w:rPr>
      </w:pPr>
      <w:r w:rsidRPr="00BA3708">
        <w:rPr>
          <w:b/>
          <w:color w:val="244061" w:themeColor="accent1" w:themeShade="80"/>
          <w:sz w:val="28"/>
          <w:szCs w:val="28"/>
        </w:rPr>
        <w:t>Recommandations &amp; Pratiques responsables :</w:t>
      </w:r>
    </w:p>
    <w:p w14:paraId="0000005E" w14:textId="77777777" w:rsidR="00773DC3" w:rsidRDefault="00773DC3">
      <w:pPr>
        <w:pBdr>
          <w:top w:val="nil"/>
          <w:left w:val="nil"/>
          <w:bottom w:val="nil"/>
          <w:right w:val="nil"/>
          <w:between w:val="nil"/>
        </w:pBdr>
        <w:spacing w:line="240" w:lineRule="auto"/>
        <w:ind w:left="540"/>
        <w:jc w:val="both"/>
      </w:pPr>
    </w:p>
    <w:p w14:paraId="24C427E0" w14:textId="77777777" w:rsidR="00F96CE0" w:rsidRDefault="00F96CE0">
      <w:pPr>
        <w:pBdr>
          <w:top w:val="nil"/>
          <w:left w:val="nil"/>
          <w:bottom w:val="nil"/>
          <w:right w:val="nil"/>
          <w:between w:val="nil"/>
        </w:pBdr>
        <w:spacing w:line="240" w:lineRule="auto"/>
        <w:ind w:left="540"/>
        <w:jc w:val="both"/>
        <w:rPr>
          <w:color w:val="FF0000"/>
        </w:rPr>
      </w:pPr>
    </w:p>
    <w:p w14:paraId="143A8522" w14:textId="45D69311" w:rsidR="00F96CE0" w:rsidRPr="004F0895" w:rsidRDefault="00F96CE0">
      <w:pPr>
        <w:pBdr>
          <w:top w:val="nil"/>
          <w:left w:val="nil"/>
          <w:bottom w:val="nil"/>
          <w:right w:val="nil"/>
          <w:between w:val="nil"/>
        </w:pBdr>
        <w:spacing w:line="240" w:lineRule="auto"/>
        <w:ind w:left="540"/>
        <w:jc w:val="both"/>
      </w:pPr>
      <w:r w:rsidRPr="004F0895">
        <w:t>Le respect des engagements RSE certifiés à titre d’exem</w:t>
      </w:r>
      <w:r w:rsidR="00344C57" w:rsidRPr="004F0895">
        <w:t>ple par les labels LRS/INRC ou E</w:t>
      </w:r>
      <w:r w:rsidRPr="004F0895">
        <w:t xml:space="preserve">ngagé RSE/AFNOR ne peut </w:t>
      </w:r>
      <w:r w:rsidR="00BA3708" w:rsidRPr="004F0895">
        <w:t>être</w:t>
      </w:r>
      <w:r w:rsidRPr="004F0895">
        <w:t xml:space="preserve"> exigé</w:t>
      </w:r>
      <w:r w:rsidR="00BA3708" w:rsidRPr="004F0895">
        <w:t xml:space="preserve"> par un </w:t>
      </w:r>
      <w:r w:rsidR="0023008B" w:rsidRPr="004F0895">
        <w:t>donneur d’ordre</w:t>
      </w:r>
      <w:r w:rsidR="00E16F38" w:rsidRPr="004F0895">
        <w:t xml:space="preserve"> dès</w:t>
      </w:r>
      <w:r w:rsidRPr="004F0895">
        <w:t xml:space="preserve"> lors qu’un seuil minimum de rémunération de l’heure payée (</w:t>
      </w:r>
      <w:r w:rsidR="00DC77C3" w:rsidRPr="004F0895">
        <w:t xml:space="preserve">correspondant à la </w:t>
      </w:r>
      <w:r w:rsidRPr="004F0895">
        <w:t xml:space="preserve">durée légale mensuelle du temps de travail) servant de base aux </w:t>
      </w:r>
      <w:r w:rsidR="009E5661" w:rsidRPr="004F0895">
        <w:t xml:space="preserve">différentes </w:t>
      </w:r>
      <w:r w:rsidR="00E16F38" w:rsidRPr="004F0895">
        <w:t>hypothèses</w:t>
      </w:r>
      <w:r w:rsidRPr="004F0895">
        <w:t xml:space="preserve"> de productivité</w:t>
      </w:r>
      <w:r w:rsidR="00E16F38" w:rsidRPr="004F0895">
        <w:t xml:space="preserve"> à l’acte et/ou aux heures de production/productive</w:t>
      </w:r>
      <w:r w:rsidR="00344C57" w:rsidRPr="004F0895">
        <w:t xml:space="preserve"> n’est pas respecté.</w:t>
      </w:r>
    </w:p>
    <w:p w14:paraId="35458891" w14:textId="77777777" w:rsidR="00F96CE0" w:rsidRDefault="00F96CE0">
      <w:pPr>
        <w:pBdr>
          <w:top w:val="nil"/>
          <w:left w:val="nil"/>
          <w:bottom w:val="nil"/>
          <w:right w:val="nil"/>
          <w:between w:val="nil"/>
        </w:pBdr>
        <w:spacing w:line="240" w:lineRule="auto"/>
        <w:ind w:left="540"/>
        <w:jc w:val="both"/>
      </w:pPr>
    </w:p>
    <w:p w14:paraId="00000060" w14:textId="77777777" w:rsidR="00773DC3" w:rsidRDefault="00773DC3">
      <w:pPr>
        <w:pBdr>
          <w:top w:val="nil"/>
          <w:left w:val="nil"/>
          <w:bottom w:val="nil"/>
          <w:right w:val="nil"/>
          <w:between w:val="nil"/>
        </w:pBdr>
        <w:spacing w:line="240" w:lineRule="auto"/>
        <w:ind w:left="540"/>
        <w:jc w:val="both"/>
        <w:rPr>
          <w:b/>
          <w:i/>
          <w:color w:val="FF0000"/>
        </w:rPr>
      </w:pPr>
    </w:p>
    <w:p w14:paraId="69334ACE" w14:textId="77777777" w:rsidR="00DA5513" w:rsidRDefault="00DA5513" w:rsidP="00DA5513">
      <w:pPr>
        <w:pBdr>
          <w:top w:val="nil"/>
          <w:left w:val="nil"/>
          <w:bottom w:val="nil"/>
          <w:right w:val="nil"/>
          <w:between w:val="nil"/>
        </w:pBdr>
        <w:shd w:val="clear" w:color="auto" w:fill="D9D9D9" w:themeFill="background1" w:themeFillShade="D9"/>
        <w:spacing w:line="240" w:lineRule="auto"/>
        <w:jc w:val="both"/>
        <w:rPr>
          <w:b/>
          <w:color w:val="244061" w:themeColor="accent1" w:themeShade="80"/>
          <w:sz w:val="28"/>
          <w:szCs w:val="28"/>
        </w:rPr>
      </w:pPr>
    </w:p>
    <w:p w14:paraId="09B9E468" w14:textId="12C50F3C" w:rsidR="00DA5513" w:rsidRDefault="00DA5513" w:rsidP="00DA5513">
      <w:pPr>
        <w:pBdr>
          <w:top w:val="nil"/>
          <w:left w:val="nil"/>
          <w:bottom w:val="nil"/>
          <w:right w:val="nil"/>
          <w:between w:val="nil"/>
        </w:pBdr>
        <w:shd w:val="clear" w:color="auto" w:fill="D9D9D9" w:themeFill="background1" w:themeFillShade="D9"/>
        <w:spacing w:line="240" w:lineRule="auto"/>
        <w:jc w:val="both"/>
        <w:rPr>
          <w:b/>
          <w:color w:val="244061" w:themeColor="accent1" w:themeShade="80"/>
          <w:sz w:val="28"/>
          <w:szCs w:val="28"/>
        </w:rPr>
      </w:pPr>
      <w:r w:rsidRPr="00D76136">
        <w:rPr>
          <w:b/>
          <w:color w:val="244061" w:themeColor="accent1" w:themeShade="80"/>
          <w:sz w:val="28"/>
          <w:szCs w:val="28"/>
        </w:rPr>
        <w:t>En situation de crise</w:t>
      </w:r>
      <w:r w:rsidR="00A27192">
        <w:rPr>
          <w:b/>
          <w:color w:val="244061" w:themeColor="accent1" w:themeShade="80"/>
          <w:sz w:val="28"/>
          <w:szCs w:val="28"/>
        </w:rPr>
        <w:t xml:space="preserve"> sanitaire</w:t>
      </w:r>
      <w:r w:rsidRPr="00D76136">
        <w:rPr>
          <w:b/>
          <w:color w:val="244061" w:themeColor="accent1" w:themeShade="80"/>
          <w:sz w:val="28"/>
          <w:szCs w:val="28"/>
        </w:rPr>
        <w:t xml:space="preserve">, s’appliquant uniquement aux activités de télétravail : </w:t>
      </w:r>
    </w:p>
    <w:p w14:paraId="50EE40B1" w14:textId="5F349A72" w:rsidR="00DA5513" w:rsidRPr="00DA5513" w:rsidRDefault="00DA5513" w:rsidP="00DA5513">
      <w:pPr>
        <w:pBdr>
          <w:top w:val="nil"/>
          <w:left w:val="nil"/>
          <w:bottom w:val="nil"/>
          <w:right w:val="nil"/>
          <w:between w:val="nil"/>
        </w:pBdr>
        <w:shd w:val="clear" w:color="auto" w:fill="D9D9D9" w:themeFill="background1" w:themeFillShade="D9"/>
        <w:spacing w:line="240" w:lineRule="auto"/>
        <w:jc w:val="both"/>
        <w:rPr>
          <w:b/>
          <w:color w:val="244061" w:themeColor="accent1" w:themeShade="80"/>
        </w:rPr>
      </w:pPr>
    </w:p>
    <w:p w14:paraId="62556D73" w14:textId="26D5F1E9" w:rsidR="00DA5513" w:rsidRDefault="00DA5513" w:rsidP="00DA5513">
      <w:pPr>
        <w:pStyle w:val="Commentaire"/>
        <w:shd w:val="clear" w:color="auto" w:fill="D9D9D9" w:themeFill="background1" w:themeFillShade="D9"/>
        <w:rPr>
          <w:sz w:val="22"/>
          <w:szCs w:val="22"/>
        </w:rPr>
      </w:pPr>
      <w:r w:rsidRPr="00DA5513">
        <w:rPr>
          <w:sz w:val="22"/>
          <w:szCs w:val="22"/>
        </w:rPr>
        <w:t>Il est recommandé que la rémunération du prestataire pour les activités de télétravail en situation de crise se fasse à l’heure de Production *. Celle-ci correspondant à la base horaire en euros retenue pour déterminer la rémunération à l’acte.</w:t>
      </w:r>
    </w:p>
    <w:p w14:paraId="78AE3F1D" w14:textId="77777777" w:rsidR="00DA5513" w:rsidRPr="00DA5513" w:rsidRDefault="00DA5513" w:rsidP="00DA5513">
      <w:pPr>
        <w:pStyle w:val="Commentaire"/>
        <w:shd w:val="clear" w:color="auto" w:fill="D9D9D9" w:themeFill="background1" w:themeFillShade="D9"/>
        <w:rPr>
          <w:sz w:val="22"/>
          <w:szCs w:val="22"/>
        </w:rPr>
      </w:pPr>
    </w:p>
    <w:p w14:paraId="0254ACE6" w14:textId="25B83F94" w:rsidR="00DA5513" w:rsidRPr="00DA5513" w:rsidRDefault="00DA5513" w:rsidP="00DA5513">
      <w:pPr>
        <w:pStyle w:val="Commentaire"/>
        <w:shd w:val="clear" w:color="auto" w:fill="D9D9D9" w:themeFill="background1" w:themeFillShade="D9"/>
        <w:rPr>
          <w:i/>
          <w:iCs/>
          <w:sz w:val="22"/>
          <w:szCs w:val="22"/>
        </w:rPr>
      </w:pPr>
      <w:r w:rsidRPr="00DA5513">
        <w:rPr>
          <w:i/>
          <w:iCs/>
          <w:sz w:val="22"/>
          <w:szCs w:val="22"/>
        </w:rPr>
        <w:t xml:space="preserve">* </w:t>
      </w:r>
      <w:r w:rsidRPr="00DA5513">
        <w:rPr>
          <w:i/>
          <w:iCs/>
          <w:sz w:val="22"/>
          <w:szCs w:val="22"/>
        </w:rPr>
        <w:t>Heure de Production/temps productif : heures de présence/temps travaillé moins temps de formation continue, suivi qualité, management et pauses</w:t>
      </w:r>
    </w:p>
    <w:p w14:paraId="0015E095" w14:textId="77777777" w:rsidR="00DA5513" w:rsidRPr="00D76136" w:rsidRDefault="00DA5513" w:rsidP="00DA5513">
      <w:pPr>
        <w:pBdr>
          <w:top w:val="nil"/>
          <w:left w:val="nil"/>
          <w:bottom w:val="nil"/>
          <w:right w:val="nil"/>
          <w:between w:val="nil"/>
        </w:pBdr>
        <w:shd w:val="clear" w:color="auto" w:fill="D9D9D9" w:themeFill="background1" w:themeFillShade="D9"/>
        <w:spacing w:line="240" w:lineRule="auto"/>
        <w:jc w:val="both"/>
        <w:rPr>
          <w:b/>
          <w:color w:val="244061" w:themeColor="accent1" w:themeShade="80"/>
          <w:sz w:val="28"/>
          <w:szCs w:val="28"/>
        </w:rPr>
      </w:pPr>
    </w:p>
    <w:p w14:paraId="0DD07DE3" w14:textId="77777777" w:rsidR="00344C57" w:rsidRPr="00117CF7" w:rsidRDefault="00344C57">
      <w:pPr>
        <w:pBdr>
          <w:top w:val="nil"/>
          <w:left w:val="nil"/>
          <w:bottom w:val="nil"/>
          <w:right w:val="nil"/>
          <w:between w:val="nil"/>
        </w:pBdr>
        <w:spacing w:line="240" w:lineRule="auto"/>
        <w:ind w:left="540"/>
        <w:jc w:val="both"/>
        <w:rPr>
          <w:iCs/>
        </w:rPr>
      </w:pPr>
    </w:p>
    <w:p w14:paraId="00000062" w14:textId="7C467905" w:rsidR="00773DC3" w:rsidRPr="00EB53FD" w:rsidRDefault="00040186" w:rsidP="001F63BE">
      <w:pPr>
        <w:pStyle w:val="Paragraphedeliste"/>
        <w:numPr>
          <w:ilvl w:val="0"/>
          <w:numId w:val="6"/>
        </w:numPr>
        <w:pBdr>
          <w:top w:val="nil"/>
          <w:left w:val="nil"/>
          <w:bottom w:val="nil"/>
          <w:right w:val="nil"/>
          <w:between w:val="nil"/>
        </w:pBdr>
        <w:spacing w:line="240" w:lineRule="auto"/>
        <w:jc w:val="both"/>
        <w:rPr>
          <w:b/>
          <w:color w:val="244061" w:themeColor="accent1" w:themeShade="80"/>
          <w:sz w:val="36"/>
          <w:szCs w:val="36"/>
        </w:rPr>
      </w:pPr>
      <w:r w:rsidRPr="00EB53FD">
        <w:rPr>
          <w:b/>
          <w:color w:val="244061" w:themeColor="accent1" w:themeShade="80"/>
          <w:sz w:val="36"/>
          <w:szCs w:val="36"/>
        </w:rPr>
        <w:t>L’indexation annuelle des prix</w:t>
      </w:r>
    </w:p>
    <w:p w14:paraId="77EB0AE9" w14:textId="77777777" w:rsidR="00691AAD" w:rsidRDefault="00691AAD">
      <w:pPr>
        <w:pBdr>
          <w:top w:val="nil"/>
          <w:left w:val="nil"/>
          <w:bottom w:val="nil"/>
          <w:right w:val="nil"/>
          <w:between w:val="nil"/>
        </w:pBdr>
        <w:spacing w:line="240" w:lineRule="auto"/>
        <w:jc w:val="both"/>
        <w:rPr>
          <w:b/>
          <w:color w:val="33339B"/>
          <w:sz w:val="36"/>
          <w:szCs w:val="36"/>
        </w:rPr>
      </w:pPr>
    </w:p>
    <w:p w14:paraId="0F0E9026" w14:textId="66809CFF" w:rsidR="00691AAD" w:rsidRPr="00691AAD" w:rsidRDefault="00691AAD">
      <w:pPr>
        <w:pBdr>
          <w:top w:val="nil"/>
          <w:left w:val="nil"/>
          <w:bottom w:val="nil"/>
          <w:right w:val="nil"/>
          <w:between w:val="nil"/>
        </w:pBdr>
        <w:spacing w:line="240" w:lineRule="auto"/>
        <w:jc w:val="both"/>
        <w:rPr>
          <w:b/>
          <w:color w:val="244061" w:themeColor="accent1" w:themeShade="80"/>
          <w:sz w:val="28"/>
          <w:szCs w:val="28"/>
        </w:rPr>
      </w:pPr>
      <w:r w:rsidRPr="00691AAD">
        <w:rPr>
          <w:b/>
          <w:color w:val="244061" w:themeColor="accent1" w:themeShade="80"/>
          <w:sz w:val="28"/>
          <w:szCs w:val="28"/>
        </w:rPr>
        <w:t>Principe</w:t>
      </w:r>
    </w:p>
    <w:p w14:paraId="00000063" w14:textId="77777777" w:rsidR="00773DC3" w:rsidRDefault="00773DC3">
      <w:pPr>
        <w:pBdr>
          <w:top w:val="nil"/>
          <w:left w:val="nil"/>
          <w:bottom w:val="nil"/>
          <w:right w:val="nil"/>
          <w:between w:val="nil"/>
        </w:pBdr>
        <w:spacing w:line="240" w:lineRule="auto"/>
        <w:jc w:val="both"/>
        <w:rPr>
          <w:b/>
        </w:rPr>
      </w:pPr>
    </w:p>
    <w:p w14:paraId="00000064" w14:textId="53D4C5BF" w:rsidR="00773DC3" w:rsidRPr="001F63BE" w:rsidRDefault="00040186">
      <w:pPr>
        <w:pBdr>
          <w:top w:val="nil"/>
          <w:left w:val="nil"/>
          <w:bottom w:val="nil"/>
          <w:right w:val="nil"/>
          <w:between w:val="nil"/>
        </w:pBdr>
        <w:spacing w:line="240" w:lineRule="auto"/>
        <w:ind w:left="540"/>
        <w:jc w:val="both"/>
      </w:pPr>
      <w:r w:rsidRPr="001F63BE">
        <w:t>Les donneurs d’ordre s’engagen</w:t>
      </w:r>
      <w:r w:rsidR="00B92D92">
        <w:t>t avec leurs sous-traitants sur</w:t>
      </w:r>
      <w:r w:rsidRPr="001F63BE">
        <w:t xml:space="preserve"> des contrats pluri</w:t>
      </w:r>
      <w:r w:rsidR="00DC77C3">
        <w:t>-</w:t>
      </w:r>
      <w:r w:rsidRPr="001F63BE">
        <w:t>annue</w:t>
      </w:r>
      <w:r w:rsidR="00B92D92">
        <w:t>ls. L</w:t>
      </w:r>
      <w:r w:rsidR="001F63BE" w:rsidRPr="001F63BE">
        <w:t xml:space="preserve">a masse salariale </w:t>
      </w:r>
      <w:r w:rsidR="00B92D92">
        <w:t>atteignant</w:t>
      </w:r>
      <w:r w:rsidR="001F63BE" w:rsidRPr="001F63BE">
        <w:t xml:space="preserve"> 80 %</w:t>
      </w:r>
      <w:r w:rsidR="00B92D92">
        <w:t xml:space="preserve"> de</w:t>
      </w:r>
      <w:r w:rsidRPr="001F63BE">
        <w:t xml:space="preserve"> la structure de co</w:t>
      </w:r>
      <w:r w:rsidR="00B92D92">
        <w:t>ût du prestataire,</w:t>
      </w:r>
      <w:r w:rsidRPr="001F63BE">
        <w:t xml:space="preserve"> </w:t>
      </w:r>
      <w:r w:rsidR="00B92D92">
        <w:t>il est essentiel de rappeler</w:t>
      </w:r>
      <w:r w:rsidRPr="001F63BE">
        <w:t xml:space="preserve"> qu’une partie importante de cette masse salariale est </w:t>
      </w:r>
      <w:r w:rsidR="00B92D92">
        <w:t xml:space="preserve">très </w:t>
      </w:r>
      <w:r w:rsidRPr="001F63BE">
        <w:t xml:space="preserve">sensible aux évolutions du SMIC. </w:t>
      </w:r>
    </w:p>
    <w:p w14:paraId="00000065" w14:textId="77777777" w:rsidR="00773DC3" w:rsidRPr="001F63BE" w:rsidRDefault="00773DC3">
      <w:pPr>
        <w:pBdr>
          <w:top w:val="nil"/>
          <w:left w:val="nil"/>
          <w:bottom w:val="nil"/>
          <w:right w:val="nil"/>
          <w:between w:val="nil"/>
        </w:pBdr>
        <w:spacing w:line="240" w:lineRule="auto"/>
        <w:ind w:left="540"/>
        <w:jc w:val="both"/>
      </w:pPr>
    </w:p>
    <w:p w14:paraId="00000066" w14:textId="249D3D7A" w:rsidR="00773DC3" w:rsidRPr="001F63BE" w:rsidRDefault="00040186">
      <w:pPr>
        <w:pBdr>
          <w:top w:val="nil"/>
          <w:left w:val="nil"/>
          <w:bottom w:val="nil"/>
          <w:right w:val="nil"/>
          <w:between w:val="nil"/>
        </w:pBdr>
        <w:spacing w:line="240" w:lineRule="auto"/>
        <w:ind w:left="540"/>
        <w:jc w:val="both"/>
      </w:pPr>
      <w:r w:rsidRPr="001F63BE">
        <w:t>Il serait hasardeux pour les parties de spéculer sur les évolutions</w:t>
      </w:r>
      <w:r w:rsidR="00B92D92">
        <w:t xml:space="preserve"> de </w:t>
      </w:r>
      <w:r w:rsidR="0023008B">
        <w:t>celui-ci</w:t>
      </w:r>
      <w:r w:rsidRPr="001F63BE">
        <w:t xml:space="preserve"> qui sont souvent imprévisible</w:t>
      </w:r>
      <w:r w:rsidR="00B92D92">
        <w:t>s</w:t>
      </w:r>
      <w:r w:rsidRPr="001F63BE">
        <w:t xml:space="preserve"> et inéquitable de laisser à la charge du </w:t>
      </w:r>
      <w:r w:rsidR="00B92D92">
        <w:t xml:space="preserve">seul </w:t>
      </w:r>
      <w:r w:rsidRPr="001F63BE">
        <w:t>sous-traitant le risque de porter des évolutions qui s</w:t>
      </w:r>
      <w:r w:rsidR="00B92D92">
        <w:t>’imposent à lui. Il convient également d’</w:t>
      </w:r>
      <w:r w:rsidRPr="001F63BE">
        <w:t>exclure les mécanismes d’indexation qui peuvent conduire à faire baisser les prix des prestations.</w:t>
      </w:r>
    </w:p>
    <w:p w14:paraId="00000067" w14:textId="77777777" w:rsidR="00773DC3" w:rsidRDefault="00773DC3">
      <w:pPr>
        <w:pBdr>
          <w:top w:val="nil"/>
          <w:left w:val="nil"/>
          <w:bottom w:val="nil"/>
          <w:right w:val="nil"/>
          <w:between w:val="nil"/>
        </w:pBdr>
        <w:spacing w:line="240" w:lineRule="auto"/>
        <w:jc w:val="both"/>
        <w:rPr>
          <w:b/>
        </w:rPr>
      </w:pPr>
    </w:p>
    <w:p w14:paraId="00000068" w14:textId="77777777" w:rsidR="00773DC3" w:rsidRPr="00691AAD" w:rsidRDefault="00040186">
      <w:pPr>
        <w:pBdr>
          <w:top w:val="nil"/>
          <w:left w:val="nil"/>
          <w:bottom w:val="nil"/>
          <w:right w:val="nil"/>
          <w:between w:val="nil"/>
        </w:pBdr>
        <w:spacing w:line="240" w:lineRule="auto"/>
        <w:jc w:val="both"/>
        <w:rPr>
          <w:b/>
          <w:color w:val="244061" w:themeColor="accent1" w:themeShade="80"/>
          <w:sz w:val="28"/>
          <w:szCs w:val="28"/>
        </w:rPr>
      </w:pPr>
      <w:r w:rsidRPr="00691AAD">
        <w:rPr>
          <w:b/>
          <w:color w:val="244061" w:themeColor="accent1" w:themeShade="80"/>
          <w:sz w:val="28"/>
          <w:szCs w:val="28"/>
        </w:rPr>
        <w:t>Recommandations &amp; Pratiques responsables :</w:t>
      </w:r>
    </w:p>
    <w:p w14:paraId="4FD24198" w14:textId="77777777" w:rsidR="003D68FA" w:rsidRDefault="003D68FA" w:rsidP="00E9357D">
      <w:pPr>
        <w:pBdr>
          <w:top w:val="nil"/>
          <w:left w:val="nil"/>
          <w:bottom w:val="nil"/>
          <w:right w:val="nil"/>
          <w:between w:val="nil"/>
        </w:pBdr>
        <w:spacing w:line="240" w:lineRule="auto"/>
        <w:jc w:val="both"/>
      </w:pPr>
    </w:p>
    <w:p w14:paraId="0000006A" w14:textId="69AE4A6F" w:rsidR="00773DC3" w:rsidRDefault="00E9357D">
      <w:pPr>
        <w:pBdr>
          <w:top w:val="nil"/>
          <w:left w:val="nil"/>
          <w:bottom w:val="nil"/>
          <w:right w:val="nil"/>
          <w:between w:val="nil"/>
        </w:pBdr>
        <w:spacing w:line="240" w:lineRule="auto"/>
        <w:ind w:left="540"/>
        <w:jc w:val="both"/>
      </w:pPr>
      <w:r w:rsidRPr="004F0895">
        <w:t>Pour les activités réalisées en France</w:t>
      </w:r>
      <w:r>
        <w:t>, l</w:t>
      </w:r>
      <w:r w:rsidR="00040186" w:rsidRPr="003D68FA">
        <w:t xml:space="preserve">es contrats doivent intégrer une clause d’indexation </w:t>
      </w:r>
      <w:r w:rsidR="005443B8" w:rsidRPr="004F0895">
        <w:t xml:space="preserve">à chaque date anniversaire </w:t>
      </w:r>
      <w:r w:rsidR="003D68FA" w:rsidRPr="003D68FA">
        <w:t xml:space="preserve">portant sur 100 % du prix </w:t>
      </w:r>
      <w:r w:rsidR="005443B8">
        <w:t xml:space="preserve">et </w:t>
      </w:r>
      <w:r w:rsidR="00040186" w:rsidRPr="003D68FA">
        <w:t xml:space="preserve">basée sur un indice qui sera </w:t>
      </w:r>
      <w:r w:rsidR="003D68FA" w:rsidRPr="003D68FA">
        <w:t>p</w:t>
      </w:r>
      <w:r w:rsidR="005443B8">
        <w:t>rincipalement (a minima</w:t>
      </w:r>
      <w:r w:rsidR="003D68FA" w:rsidRPr="003D68FA">
        <w:t xml:space="preserve"> 75%)</w:t>
      </w:r>
      <w:r w:rsidR="00040186" w:rsidRPr="003D68FA">
        <w:t xml:space="preserve"> </w:t>
      </w:r>
      <w:r w:rsidR="003D68FA">
        <w:t xml:space="preserve">fondé </w:t>
      </w:r>
      <w:r w:rsidR="00040186" w:rsidRPr="003D68FA">
        <w:t>sur l’évolution du SMIC et qui pour</w:t>
      </w:r>
      <w:r w:rsidR="00B92D92" w:rsidRPr="003D68FA">
        <w:t>ra reprendra la formule ci-dessous,</w:t>
      </w:r>
      <w:r w:rsidR="00040186" w:rsidRPr="003D68FA">
        <w:t xml:space="preserve"> </w:t>
      </w:r>
    </w:p>
    <w:p w14:paraId="42D72996" w14:textId="77777777" w:rsidR="003D68FA" w:rsidRDefault="003D68FA">
      <w:pPr>
        <w:pBdr>
          <w:top w:val="nil"/>
          <w:left w:val="nil"/>
          <w:bottom w:val="nil"/>
          <w:right w:val="nil"/>
          <w:between w:val="nil"/>
        </w:pBdr>
        <w:spacing w:line="240" w:lineRule="auto"/>
        <w:ind w:left="540"/>
        <w:jc w:val="both"/>
      </w:pPr>
    </w:p>
    <w:p w14:paraId="594996B7" w14:textId="7A728108" w:rsidR="00E9357D" w:rsidRPr="00E9357D" w:rsidRDefault="00E9357D" w:rsidP="00E9357D">
      <w:pPr>
        <w:pBdr>
          <w:top w:val="nil"/>
          <w:left w:val="nil"/>
          <w:bottom w:val="nil"/>
          <w:right w:val="nil"/>
          <w:between w:val="nil"/>
        </w:pBdr>
        <w:spacing w:line="240" w:lineRule="auto"/>
        <w:ind w:left="540"/>
        <w:jc w:val="both"/>
        <w:rPr>
          <w:lang w:val="fr-FR"/>
        </w:rPr>
      </w:pPr>
      <w:r>
        <w:rPr>
          <w:b/>
          <w:bCs/>
          <w:lang w:val="fr-FR"/>
        </w:rPr>
        <w:t>P = 0,25 P0 (S/S0) + 0,75 P0 (SM/SM0)</w:t>
      </w:r>
    </w:p>
    <w:p w14:paraId="7727DC12" w14:textId="77777777" w:rsidR="00E9357D" w:rsidRPr="00E9357D" w:rsidRDefault="00E9357D" w:rsidP="00E9357D">
      <w:pPr>
        <w:pBdr>
          <w:top w:val="nil"/>
          <w:left w:val="nil"/>
          <w:bottom w:val="nil"/>
          <w:right w:val="nil"/>
          <w:between w:val="nil"/>
        </w:pBdr>
        <w:spacing w:line="240" w:lineRule="auto"/>
        <w:ind w:left="540"/>
        <w:jc w:val="both"/>
        <w:rPr>
          <w:lang w:val="fr-FR"/>
        </w:rPr>
      </w:pPr>
      <w:r w:rsidRPr="00E9357D">
        <w:rPr>
          <w:lang w:val="fr-FR"/>
        </w:rPr>
        <w:t> </w:t>
      </w:r>
    </w:p>
    <w:p w14:paraId="15CCFB0E" w14:textId="40EE8776" w:rsidR="00E9357D" w:rsidRDefault="005443B8" w:rsidP="00E9357D">
      <w:pPr>
        <w:pBdr>
          <w:top w:val="nil"/>
          <w:left w:val="nil"/>
          <w:bottom w:val="nil"/>
          <w:right w:val="nil"/>
          <w:between w:val="nil"/>
        </w:pBdr>
        <w:spacing w:line="240" w:lineRule="auto"/>
        <w:ind w:left="540"/>
        <w:jc w:val="both"/>
        <w:rPr>
          <w:lang w:val="fr-FR"/>
        </w:rPr>
      </w:pPr>
      <w:r>
        <w:rPr>
          <w:lang w:val="fr-FR"/>
        </w:rPr>
        <w:t>P = P</w:t>
      </w:r>
      <w:r w:rsidR="00E9357D">
        <w:rPr>
          <w:lang w:val="fr-FR"/>
        </w:rPr>
        <w:t>rix hors taxe après révision</w:t>
      </w:r>
    </w:p>
    <w:p w14:paraId="747EBADF" w14:textId="7F1B8D5D" w:rsidR="00E9357D" w:rsidRDefault="005443B8" w:rsidP="00E9357D">
      <w:pPr>
        <w:pBdr>
          <w:top w:val="nil"/>
          <w:left w:val="nil"/>
          <w:bottom w:val="nil"/>
          <w:right w:val="nil"/>
          <w:between w:val="nil"/>
        </w:pBdr>
        <w:spacing w:line="240" w:lineRule="auto"/>
        <w:ind w:left="540"/>
        <w:jc w:val="both"/>
        <w:rPr>
          <w:lang w:val="fr-FR"/>
        </w:rPr>
      </w:pPr>
      <w:r>
        <w:rPr>
          <w:lang w:val="fr-FR"/>
        </w:rPr>
        <w:t>P0 = P</w:t>
      </w:r>
      <w:r w:rsidR="00E9357D">
        <w:rPr>
          <w:lang w:val="fr-FR"/>
        </w:rPr>
        <w:t>rix hors taxe en vigueur avant la révision</w:t>
      </w:r>
    </w:p>
    <w:p w14:paraId="54A60A5D" w14:textId="702D9F56" w:rsidR="00E9357D" w:rsidRDefault="005443B8" w:rsidP="00E9357D">
      <w:pPr>
        <w:pBdr>
          <w:top w:val="nil"/>
          <w:left w:val="nil"/>
          <w:bottom w:val="nil"/>
          <w:right w:val="nil"/>
          <w:between w:val="nil"/>
        </w:pBdr>
        <w:spacing w:line="240" w:lineRule="auto"/>
        <w:ind w:left="540"/>
        <w:jc w:val="both"/>
        <w:rPr>
          <w:lang w:val="fr-FR"/>
        </w:rPr>
      </w:pPr>
      <w:r>
        <w:rPr>
          <w:lang w:val="fr-FR"/>
        </w:rPr>
        <w:t>S = D</w:t>
      </w:r>
      <w:r w:rsidR="00E9357D">
        <w:rPr>
          <w:lang w:val="fr-FR"/>
        </w:rPr>
        <w:t>ernier indice Syntec connu à la date de révision</w:t>
      </w:r>
    </w:p>
    <w:p w14:paraId="76A49655" w14:textId="1275A343" w:rsidR="00E9357D" w:rsidRDefault="00E9357D" w:rsidP="00E9357D">
      <w:pPr>
        <w:pBdr>
          <w:top w:val="nil"/>
          <w:left w:val="nil"/>
          <w:bottom w:val="nil"/>
          <w:right w:val="nil"/>
          <w:between w:val="nil"/>
        </w:pBdr>
        <w:spacing w:line="240" w:lineRule="auto"/>
        <w:ind w:left="540"/>
        <w:jc w:val="both"/>
        <w:rPr>
          <w:lang w:val="fr-FR"/>
        </w:rPr>
      </w:pPr>
      <w:r>
        <w:rPr>
          <w:lang w:val="fr-FR"/>
        </w:rPr>
        <w:t xml:space="preserve">S0 = Indice Syntec utilisé ou en vigueur lors de la </w:t>
      </w:r>
      <w:r w:rsidR="005443B8">
        <w:rPr>
          <w:lang w:val="fr-FR"/>
        </w:rPr>
        <w:t>détermination</w:t>
      </w:r>
      <w:r>
        <w:rPr>
          <w:lang w:val="fr-FR"/>
        </w:rPr>
        <w:t xml:space="preserve"> de P0</w:t>
      </w:r>
    </w:p>
    <w:p w14:paraId="024044EC" w14:textId="05E89C28" w:rsidR="00E9357D" w:rsidRDefault="00E9357D" w:rsidP="00E9357D">
      <w:pPr>
        <w:pBdr>
          <w:top w:val="nil"/>
          <w:left w:val="nil"/>
          <w:bottom w:val="nil"/>
          <w:right w:val="nil"/>
          <w:between w:val="nil"/>
        </w:pBdr>
        <w:spacing w:line="240" w:lineRule="auto"/>
        <w:ind w:left="540"/>
        <w:jc w:val="both"/>
        <w:rPr>
          <w:lang w:val="fr-FR"/>
        </w:rPr>
      </w:pPr>
      <w:r>
        <w:rPr>
          <w:lang w:val="fr-FR"/>
        </w:rPr>
        <w:t>SM = Valeur du SMIC horaire à la date de révision</w:t>
      </w:r>
    </w:p>
    <w:p w14:paraId="47BB4C53" w14:textId="3DBFE29B" w:rsidR="00E9357D" w:rsidRDefault="00E9357D" w:rsidP="00E9357D">
      <w:pPr>
        <w:pBdr>
          <w:top w:val="nil"/>
          <w:left w:val="nil"/>
          <w:bottom w:val="nil"/>
          <w:right w:val="nil"/>
          <w:between w:val="nil"/>
        </w:pBdr>
        <w:spacing w:line="240" w:lineRule="auto"/>
        <w:ind w:left="540"/>
        <w:jc w:val="both"/>
        <w:rPr>
          <w:lang w:val="fr-FR"/>
        </w:rPr>
      </w:pPr>
      <w:r>
        <w:rPr>
          <w:lang w:val="fr-FR"/>
        </w:rPr>
        <w:t>SM0 = Valeur du SMIC horaire lors de la détermination de P0</w:t>
      </w:r>
    </w:p>
    <w:p w14:paraId="5E6A680D" w14:textId="77777777" w:rsidR="005443B8" w:rsidRDefault="005443B8" w:rsidP="005443B8">
      <w:pPr>
        <w:pBdr>
          <w:top w:val="nil"/>
          <w:left w:val="nil"/>
          <w:bottom w:val="nil"/>
          <w:right w:val="nil"/>
          <w:between w:val="nil"/>
        </w:pBdr>
        <w:spacing w:line="240" w:lineRule="auto"/>
        <w:jc w:val="both"/>
        <w:rPr>
          <w:color w:val="FF0000"/>
          <w:lang w:val="fr-FR"/>
        </w:rPr>
      </w:pPr>
    </w:p>
    <w:p w14:paraId="3326B1DC" w14:textId="77777777" w:rsidR="005443B8" w:rsidRPr="00344C57" w:rsidRDefault="005443B8" w:rsidP="00B92D92">
      <w:pPr>
        <w:pBdr>
          <w:top w:val="nil"/>
          <w:left w:val="nil"/>
          <w:bottom w:val="nil"/>
          <w:right w:val="nil"/>
          <w:between w:val="nil"/>
        </w:pBdr>
        <w:spacing w:line="240" w:lineRule="auto"/>
        <w:ind w:left="540"/>
        <w:jc w:val="both"/>
        <w:rPr>
          <w:color w:val="FF0000"/>
          <w:lang w:val="fr-FR"/>
        </w:rPr>
      </w:pPr>
    </w:p>
    <w:p w14:paraId="17DF9415" w14:textId="16143E3C" w:rsidR="00B92D92" w:rsidRPr="004F0895" w:rsidRDefault="005443B8" w:rsidP="00B92D92">
      <w:pPr>
        <w:pBdr>
          <w:top w:val="nil"/>
          <w:left w:val="nil"/>
          <w:bottom w:val="nil"/>
          <w:right w:val="nil"/>
          <w:between w:val="nil"/>
        </w:pBdr>
        <w:spacing w:line="240" w:lineRule="auto"/>
        <w:ind w:left="540"/>
        <w:jc w:val="both"/>
      </w:pPr>
      <w:r w:rsidRPr="004F0895">
        <w:t>Pour les</w:t>
      </w:r>
      <w:r w:rsidR="00B92D92" w:rsidRPr="004F0895">
        <w:t xml:space="preserve"> activités localisées hors d</w:t>
      </w:r>
      <w:r w:rsidRPr="004F0895">
        <w:t xml:space="preserve">e France la recommandation est de faire varier la tarification </w:t>
      </w:r>
      <w:r w:rsidR="00B92D92" w:rsidRPr="004F0895">
        <w:t xml:space="preserve"> à chaque date anniversaire de prise d’effet du contrat suivant les f</w:t>
      </w:r>
      <w:r w:rsidR="00460A9A" w:rsidRPr="004F0895">
        <w:t>luctuations de l’indice Syntec pour 100%.</w:t>
      </w:r>
    </w:p>
    <w:p w14:paraId="0000006C" w14:textId="0A33EA7B" w:rsidR="00773DC3" w:rsidRPr="00344C57" w:rsidRDefault="00773DC3">
      <w:pPr>
        <w:pBdr>
          <w:top w:val="nil"/>
          <w:left w:val="nil"/>
          <w:bottom w:val="nil"/>
          <w:right w:val="nil"/>
          <w:between w:val="nil"/>
        </w:pBdr>
        <w:spacing w:line="240" w:lineRule="auto"/>
        <w:ind w:left="540"/>
        <w:jc w:val="both"/>
        <w:rPr>
          <w:color w:val="FF0000"/>
        </w:rPr>
      </w:pPr>
    </w:p>
    <w:p w14:paraId="0000006D" w14:textId="77777777" w:rsidR="00773DC3" w:rsidRDefault="00773DC3">
      <w:pPr>
        <w:pBdr>
          <w:top w:val="nil"/>
          <w:left w:val="nil"/>
          <w:bottom w:val="nil"/>
          <w:right w:val="nil"/>
          <w:between w:val="nil"/>
        </w:pBdr>
        <w:spacing w:line="240" w:lineRule="auto"/>
        <w:ind w:left="540"/>
        <w:jc w:val="both"/>
      </w:pPr>
    </w:p>
    <w:p w14:paraId="227975F1" w14:textId="77777777" w:rsidR="00827AE9" w:rsidRDefault="00827AE9">
      <w:pPr>
        <w:pBdr>
          <w:top w:val="nil"/>
          <w:left w:val="nil"/>
          <w:bottom w:val="nil"/>
          <w:right w:val="nil"/>
          <w:between w:val="nil"/>
        </w:pBdr>
        <w:spacing w:line="240" w:lineRule="auto"/>
        <w:ind w:left="540"/>
        <w:jc w:val="both"/>
      </w:pPr>
    </w:p>
    <w:p w14:paraId="449BB08C" w14:textId="77777777" w:rsidR="00827AE9" w:rsidRDefault="00827AE9">
      <w:pPr>
        <w:pBdr>
          <w:top w:val="nil"/>
          <w:left w:val="nil"/>
          <w:bottom w:val="nil"/>
          <w:right w:val="nil"/>
          <w:between w:val="nil"/>
        </w:pBdr>
        <w:spacing w:line="240" w:lineRule="auto"/>
        <w:ind w:left="540"/>
        <w:jc w:val="both"/>
      </w:pPr>
    </w:p>
    <w:p w14:paraId="23D0D15D" w14:textId="77777777" w:rsidR="00827AE9" w:rsidRDefault="00827AE9">
      <w:pPr>
        <w:pBdr>
          <w:top w:val="nil"/>
          <w:left w:val="nil"/>
          <w:bottom w:val="nil"/>
          <w:right w:val="nil"/>
          <w:between w:val="nil"/>
        </w:pBdr>
        <w:spacing w:line="240" w:lineRule="auto"/>
        <w:ind w:left="540"/>
        <w:jc w:val="both"/>
      </w:pPr>
    </w:p>
    <w:p w14:paraId="48E5A1A9" w14:textId="77777777" w:rsidR="00827AE9" w:rsidRDefault="00827AE9" w:rsidP="003D3CF0">
      <w:pPr>
        <w:pBdr>
          <w:top w:val="nil"/>
          <w:left w:val="nil"/>
          <w:bottom w:val="nil"/>
          <w:right w:val="nil"/>
          <w:between w:val="nil"/>
        </w:pBdr>
        <w:spacing w:line="240" w:lineRule="auto"/>
        <w:jc w:val="both"/>
      </w:pPr>
    </w:p>
    <w:p w14:paraId="7C5BE3AD" w14:textId="77777777" w:rsidR="003D3CF0" w:rsidRDefault="003D3CF0" w:rsidP="003D3CF0">
      <w:pPr>
        <w:pBdr>
          <w:top w:val="nil"/>
          <w:left w:val="nil"/>
          <w:bottom w:val="nil"/>
          <w:right w:val="nil"/>
          <w:between w:val="nil"/>
        </w:pBdr>
        <w:spacing w:line="240" w:lineRule="auto"/>
        <w:jc w:val="both"/>
      </w:pPr>
    </w:p>
    <w:p w14:paraId="6C3A500B" w14:textId="77777777" w:rsidR="003D3CF0" w:rsidRDefault="003D3CF0" w:rsidP="003D3CF0">
      <w:pPr>
        <w:pBdr>
          <w:top w:val="nil"/>
          <w:left w:val="nil"/>
          <w:bottom w:val="nil"/>
          <w:right w:val="nil"/>
          <w:between w:val="nil"/>
        </w:pBdr>
        <w:spacing w:line="240" w:lineRule="auto"/>
        <w:jc w:val="both"/>
      </w:pPr>
    </w:p>
    <w:p w14:paraId="141DB201" w14:textId="77777777" w:rsidR="003D3CF0" w:rsidRDefault="003D3CF0" w:rsidP="003D3CF0">
      <w:pPr>
        <w:pBdr>
          <w:top w:val="nil"/>
          <w:left w:val="nil"/>
          <w:bottom w:val="nil"/>
          <w:right w:val="nil"/>
          <w:between w:val="nil"/>
        </w:pBdr>
        <w:spacing w:line="240" w:lineRule="auto"/>
        <w:jc w:val="both"/>
      </w:pPr>
    </w:p>
    <w:p w14:paraId="6DC62323" w14:textId="77777777" w:rsidR="001F63BE" w:rsidRDefault="001F63BE" w:rsidP="003D3CF0">
      <w:pPr>
        <w:pBdr>
          <w:top w:val="nil"/>
          <w:left w:val="nil"/>
          <w:bottom w:val="nil"/>
          <w:right w:val="nil"/>
          <w:between w:val="nil"/>
        </w:pBdr>
        <w:spacing w:line="240" w:lineRule="auto"/>
        <w:jc w:val="both"/>
      </w:pPr>
    </w:p>
    <w:p w14:paraId="653EE522" w14:textId="77777777" w:rsidR="001F63BE" w:rsidRDefault="001F63BE" w:rsidP="003D3CF0">
      <w:pPr>
        <w:pBdr>
          <w:top w:val="nil"/>
          <w:left w:val="nil"/>
          <w:bottom w:val="nil"/>
          <w:right w:val="nil"/>
          <w:between w:val="nil"/>
        </w:pBdr>
        <w:spacing w:line="240" w:lineRule="auto"/>
        <w:jc w:val="both"/>
      </w:pPr>
    </w:p>
    <w:p w14:paraId="38E92716" w14:textId="77777777" w:rsidR="001F63BE" w:rsidRDefault="001F63BE" w:rsidP="003D3CF0">
      <w:pPr>
        <w:pBdr>
          <w:top w:val="nil"/>
          <w:left w:val="nil"/>
          <w:bottom w:val="nil"/>
          <w:right w:val="nil"/>
          <w:between w:val="nil"/>
        </w:pBdr>
        <w:spacing w:line="240" w:lineRule="auto"/>
        <w:jc w:val="both"/>
      </w:pPr>
    </w:p>
    <w:p w14:paraId="6558E0B3" w14:textId="77777777" w:rsidR="00B92D92" w:rsidRDefault="00B92D92" w:rsidP="003D3CF0">
      <w:pPr>
        <w:pBdr>
          <w:top w:val="nil"/>
          <w:left w:val="nil"/>
          <w:bottom w:val="nil"/>
          <w:right w:val="nil"/>
          <w:between w:val="nil"/>
        </w:pBdr>
        <w:spacing w:line="240" w:lineRule="auto"/>
        <w:jc w:val="both"/>
      </w:pPr>
    </w:p>
    <w:p w14:paraId="0000006F" w14:textId="68E9190F" w:rsidR="00773DC3" w:rsidRPr="000A5C04" w:rsidRDefault="001F63BE" w:rsidP="000A5C04">
      <w:pPr>
        <w:pStyle w:val="Paragraphedeliste"/>
        <w:numPr>
          <w:ilvl w:val="0"/>
          <w:numId w:val="6"/>
        </w:numPr>
        <w:pBdr>
          <w:top w:val="nil"/>
          <w:left w:val="nil"/>
          <w:bottom w:val="nil"/>
          <w:right w:val="nil"/>
          <w:between w:val="nil"/>
        </w:pBdr>
        <w:spacing w:line="240" w:lineRule="auto"/>
        <w:jc w:val="both"/>
        <w:rPr>
          <w:b/>
          <w:color w:val="244061" w:themeColor="accent1" w:themeShade="80"/>
          <w:sz w:val="36"/>
          <w:szCs w:val="36"/>
        </w:rPr>
      </w:pPr>
      <w:r w:rsidRPr="000A5C04">
        <w:rPr>
          <w:b/>
          <w:color w:val="244061" w:themeColor="accent1" w:themeShade="80"/>
          <w:sz w:val="36"/>
          <w:szCs w:val="36"/>
        </w:rPr>
        <w:t>Le respect d</w:t>
      </w:r>
      <w:r w:rsidR="00040186" w:rsidRPr="000A5C04">
        <w:rPr>
          <w:b/>
          <w:color w:val="244061" w:themeColor="accent1" w:themeShade="80"/>
          <w:sz w:val="36"/>
          <w:szCs w:val="36"/>
        </w:rPr>
        <w:t>es délais de paiement</w:t>
      </w:r>
    </w:p>
    <w:p w14:paraId="0CCD6599" w14:textId="77777777" w:rsidR="003D3CF0" w:rsidRDefault="003D3CF0">
      <w:pPr>
        <w:pBdr>
          <w:top w:val="nil"/>
          <w:left w:val="nil"/>
          <w:bottom w:val="nil"/>
          <w:right w:val="nil"/>
          <w:between w:val="nil"/>
        </w:pBdr>
        <w:spacing w:line="240" w:lineRule="auto"/>
        <w:jc w:val="both"/>
        <w:rPr>
          <w:b/>
          <w:color w:val="33339B"/>
          <w:sz w:val="36"/>
          <w:szCs w:val="36"/>
        </w:rPr>
      </w:pPr>
    </w:p>
    <w:p w14:paraId="3EBF494B" w14:textId="531E7FE3" w:rsidR="003D3CF0" w:rsidRPr="003D3CF0" w:rsidRDefault="003D3CF0">
      <w:pPr>
        <w:pBdr>
          <w:top w:val="nil"/>
          <w:left w:val="nil"/>
          <w:bottom w:val="nil"/>
          <w:right w:val="nil"/>
          <w:between w:val="nil"/>
        </w:pBdr>
        <w:spacing w:line="240" w:lineRule="auto"/>
        <w:jc w:val="both"/>
        <w:rPr>
          <w:b/>
          <w:color w:val="244061" w:themeColor="accent1" w:themeShade="80"/>
          <w:sz w:val="28"/>
          <w:szCs w:val="28"/>
        </w:rPr>
      </w:pPr>
      <w:r w:rsidRPr="003D3CF0">
        <w:rPr>
          <w:b/>
          <w:color w:val="244061" w:themeColor="accent1" w:themeShade="80"/>
          <w:sz w:val="28"/>
          <w:szCs w:val="28"/>
        </w:rPr>
        <w:t>Principe</w:t>
      </w:r>
      <w:r w:rsidR="001F63BE">
        <w:rPr>
          <w:b/>
          <w:color w:val="244061" w:themeColor="accent1" w:themeShade="80"/>
          <w:sz w:val="28"/>
          <w:szCs w:val="28"/>
        </w:rPr>
        <w:t> :</w:t>
      </w:r>
    </w:p>
    <w:p w14:paraId="00000070" w14:textId="77777777" w:rsidR="00773DC3" w:rsidRDefault="00773DC3">
      <w:pPr>
        <w:pBdr>
          <w:top w:val="nil"/>
          <w:left w:val="nil"/>
          <w:bottom w:val="nil"/>
          <w:right w:val="nil"/>
          <w:between w:val="nil"/>
        </w:pBdr>
        <w:spacing w:line="240" w:lineRule="auto"/>
        <w:jc w:val="both"/>
        <w:rPr>
          <w:b/>
        </w:rPr>
      </w:pPr>
    </w:p>
    <w:p w14:paraId="00000071" w14:textId="378C6351" w:rsidR="00773DC3" w:rsidRPr="000A5C04" w:rsidRDefault="000A5C04">
      <w:pPr>
        <w:pBdr>
          <w:top w:val="nil"/>
          <w:left w:val="nil"/>
          <w:bottom w:val="nil"/>
          <w:right w:val="nil"/>
          <w:between w:val="nil"/>
        </w:pBdr>
        <w:spacing w:line="240" w:lineRule="auto"/>
        <w:ind w:left="540"/>
        <w:jc w:val="both"/>
      </w:pPr>
      <w:r w:rsidRPr="000A5C04">
        <w:t>L</w:t>
      </w:r>
      <w:r w:rsidR="00040186" w:rsidRPr="000A5C04">
        <w:t>a masse salariale du personnel représente la plus importante composante du coût de la prestation qui est réalisée. Les salaires sont payés en</w:t>
      </w:r>
      <w:r w:rsidRPr="000A5C04">
        <w:t xml:space="preserve"> fin de mois et dans la quasi-totalité</w:t>
      </w:r>
      <w:r w:rsidR="00040186" w:rsidRPr="000A5C04">
        <w:t xml:space="preserve"> des cas les prestations font l’objet d’une facturation mensuelle pour des prestations qui ont donc été livrées.</w:t>
      </w:r>
    </w:p>
    <w:p w14:paraId="00000072" w14:textId="77777777" w:rsidR="00773DC3" w:rsidRDefault="00773DC3">
      <w:pPr>
        <w:pBdr>
          <w:top w:val="nil"/>
          <w:left w:val="nil"/>
          <w:bottom w:val="nil"/>
          <w:right w:val="nil"/>
          <w:between w:val="nil"/>
        </w:pBdr>
        <w:spacing w:line="240" w:lineRule="auto"/>
        <w:ind w:left="540"/>
        <w:jc w:val="both"/>
      </w:pPr>
    </w:p>
    <w:p w14:paraId="00000073" w14:textId="6EB0132A" w:rsidR="00773DC3" w:rsidRDefault="000A5C04">
      <w:pPr>
        <w:pBdr>
          <w:top w:val="nil"/>
          <w:left w:val="nil"/>
          <w:bottom w:val="nil"/>
          <w:right w:val="nil"/>
          <w:between w:val="nil"/>
        </w:pBdr>
        <w:spacing w:line="240" w:lineRule="auto"/>
        <w:ind w:left="540"/>
        <w:jc w:val="both"/>
      </w:pPr>
      <w:r>
        <w:t>Malgré les avancées réalisées ces dernières années chez quelques donneurs d’ordre, n</w:t>
      </w:r>
      <w:r w:rsidR="00040186">
        <w:t>ous observ</w:t>
      </w:r>
      <w:r>
        <w:t>ons u</w:t>
      </w:r>
      <w:r w:rsidR="00BD5446">
        <w:t>ne constante de dépassement</w:t>
      </w:r>
      <w:r w:rsidR="00040186">
        <w:t xml:space="preserve"> des délais de paieme</w:t>
      </w:r>
      <w:r>
        <w:t>nt. Cet allongement résulte i) D</w:t>
      </w:r>
      <w:r w:rsidR="00040186">
        <w:t>’un retard de facturation</w:t>
      </w:r>
      <w:r>
        <w:t xml:space="preserve"> (FAE)</w:t>
      </w:r>
      <w:r w:rsidR="00040186">
        <w:t xml:space="preserve"> issue de la complexité de ces dernièr</w:t>
      </w:r>
      <w:r>
        <w:t>es (arbitrage des bonus-malus) ii) De la lourdeur des process</w:t>
      </w:r>
      <w:r w:rsidR="00040186">
        <w:t xml:space="preserve"> </w:t>
      </w:r>
      <w:r>
        <w:t xml:space="preserve">liés aux </w:t>
      </w:r>
      <w:r w:rsidR="00040186">
        <w:t>systèmes d’informatio</w:t>
      </w:r>
      <w:r>
        <w:t xml:space="preserve">n chez le </w:t>
      </w:r>
      <w:r w:rsidR="0023008B">
        <w:t>Donneur d’ordre</w:t>
      </w:r>
      <w:r>
        <w:t xml:space="preserve"> iii) D</w:t>
      </w:r>
      <w:r w:rsidR="00040186">
        <w:t>e pra</w:t>
      </w:r>
      <w:r>
        <w:t xml:space="preserve">tiques commerciales non seulement </w:t>
      </w:r>
      <w:r w:rsidR="0023008B">
        <w:t>critiquables</w:t>
      </w:r>
      <w:r>
        <w:t xml:space="preserve"> mais clairement illégales.</w:t>
      </w:r>
    </w:p>
    <w:p w14:paraId="00000074" w14:textId="77777777" w:rsidR="00773DC3" w:rsidRDefault="00773DC3">
      <w:pPr>
        <w:pBdr>
          <w:top w:val="nil"/>
          <w:left w:val="nil"/>
          <w:bottom w:val="nil"/>
          <w:right w:val="nil"/>
          <w:between w:val="nil"/>
        </w:pBdr>
        <w:spacing w:line="240" w:lineRule="auto"/>
        <w:ind w:left="540"/>
        <w:jc w:val="both"/>
      </w:pPr>
    </w:p>
    <w:p w14:paraId="00000075" w14:textId="3F428A61" w:rsidR="00773DC3" w:rsidRDefault="00040186">
      <w:pPr>
        <w:pBdr>
          <w:top w:val="nil"/>
          <w:left w:val="nil"/>
          <w:bottom w:val="nil"/>
          <w:right w:val="nil"/>
          <w:between w:val="nil"/>
        </w:pBdr>
        <w:spacing w:line="240" w:lineRule="auto"/>
        <w:ind w:left="540"/>
        <w:jc w:val="both"/>
      </w:pPr>
      <w:r>
        <w:t>Il en résulte un</w:t>
      </w:r>
      <w:r w:rsidR="000A5C04">
        <w:t>e précarisation économique des prestataires</w:t>
      </w:r>
      <w:r>
        <w:t xml:space="preserve"> et un surcout lié au nécessaire financement de ce décalage de trésorerie.</w:t>
      </w:r>
    </w:p>
    <w:p w14:paraId="00000076" w14:textId="77777777" w:rsidR="00773DC3" w:rsidRDefault="00773DC3">
      <w:pPr>
        <w:pBdr>
          <w:top w:val="nil"/>
          <w:left w:val="nil"/>
          <w:bottom w:val="nil"/>
          <w:right w:val="nil"/>
          <w:between w:val="nil"/>
        </w:pBdr>
        <w:spacing w:line="240" w:lineRule="auto"/>
        <w:jc w:val="both"/>
      </w:pPr>
    </w:p>
    <w:p w14:paraId="00000077" w14:textId="77777777" w:rsidR="00773DC3" w:rsidRPr="003D3CF0" w:rsidRDefault="00040186">
      <w:pPr>
        <w:pBdr>
          <w:top w:val="nil"/>
          <w:left w:val="nil"/>
          <w:bottom w:val="nil"/>
          <w:right w:val="nil"/>
          <w:between w:val="nil"/>
        </w:pBdr>
        <w:spacing w:line="240" w:lineRule="auto"/>
        <w:jc w:val="both"/>
        <w:rPr>
          <w:b/>
          <w:color w:val="244061" w:themeColor="accent1" w:themeShade="80"/>
          <w:sz w:val="28"/>
          <w:szCs w:val="28"/>
        </w:rPr>
      </w:pPr>
      <w:r w:rsidRPr="003D3CF0">
        <w:rPr>
          <w:b/>
          <w:color w:val="244061" w:themeColor="accent1" w:themeShade="80"/>
          <w:sz w:val="28"/>
          <w:szCs w:val="28"/>
        </w:rPr>
        <w:t>Recommandations &amp; Pratiques responsables :</w:t>
      </w:r>
    </w:p>
    <w:p w14:paraId="00000078" w14:textId="77777777" w:rsidR="00773DC3" w:rsidRDefault="00773DC3">
      <w:pPr>
        <w:pBdr>
          <w:top w:val="nil"/>
          <w:left w:val="nil"/>
          <w:bottom w:val="nil"/>
          <w:right w:val="nil"/>
          <w:between w:val="nil"/>
        </w:pBdr>
        <w:spacing w:line="240" w:lineRule="auto"/>
        <w:jc w:val="both"/>
      </w:pPr>
    </w:p>
    <w:p w14:paraId="00000079" w14:textId="5A48166A" w:rsidR="00773DC3" w:rsidRPr="000A5C04" w:rsidRDefault="00040186">
      <w:pPr>
        <w:pBdr>
          <w:top w:val="nil"/>
          <w:left w:val="nil"/>
          <w:bottom w:val="nil"/>
          <w:right w:val="nil"/>
          <w:between w:val="nil"/>
        </w:pBdr>
        <w:spacing w:line="240" w:lineRule="auto"/>
        <w:ind w:left="540"/>
        <w:jc w:val="both"/>
      </w:pPr>
      <w:r w:rsidRPr="000A5C04">
        <w:t>Notre structure de coût justifie plus q</w:t>
      </w:r>
      <w:r w:rsidR="000A5C04" w:rsidRPr="000A5C04">
        <w:t>ue tout autre le respect par</w:t>
      </w:r>
      <w:r w:rsidRPr="000A5C04">
        <w:t xml:space="preserve"> nos donneurs d’ordre de la loi LME - renforcée par la loi Hamon (mars 2014) - qui fixe par défaut le délai de règlement à 45 jours à compter du dernier jour du mois d'exécution de la prestation de service. </w:t>
      </w:r>
    </w:p>
    <w:p w14:paraId="0000007A" w14:textId="77777777" w:rsidR="00773DC3" w:rsidRDefault="00773DC3">
      <w:pPr>
        <w:pBdr>
          <w:top w:val="nil"/>
          <w:left w:val="nil"/>
          <w:bottom w:val="nil"/>
          <w:right w:val="nil"/>
          <w:between w:val="nil"/>
        </w:pBdr>
        <w:spacing w:line="240" w:lineRule="auto"/>
        <w:ind w:left="540"/>
        <w:jc w:val="both"/>
      </w:pPr>
    </w:p>
    <w:p w14:paraId="0000007B" w14:textId="77777777" w:rsidR="00773DC3" w:rsidRDefault="00040186">
      <w:pPr>
        <w:pBdr>
          <w:top w:val="nil"/>
          <w:left w:val="nil"/>
          <w:bottom w:val="nil"/>
          <w:right w:val="nil"/>
          <w:between w:val="nil"/>
        </w:pBdr>
        <w:spacing w:line="240" w:lineRule="auto"/>
        <w:ind w:left="540"/>
        <w:jc w:val="both"/>
      </w:pPr>
      <w:r>
        <w:t>Une bonne pratique consistera aussi  à ne pas différer l’établissement de la facture du mois M - en reportant au mois M+1 les bonus-malus le cas échéant - et de procéder à son règlement avant le 15 du mois M+1.</w:t>
      </w:r>
    </w:p>
    <w:p w14:paraId="1A90D83F" w14:textId="77777777" w:rsidR="000A5C04" w:rsidRDefault="000A5C04">
      <w:pPr>
        <w:pBdr>
          <w:top w:val="nil"/>
          <w:left w:val="nil"/>
          <w:bottom w:val="nil"/>
          <w:right w:val="nil"/>
          <w:between w:val="nil"/>
        </w:pBdr>
        <w:spacing w:line="240" w:lineRule="auto"/>
        <w:ind w:left="540"/>
        <w:jc w:val="both"/>
      </w:pPr>
    </w:p>
    <w:p w14:paraId="41C4A667" w14:textId="04AAA4D0" w:rsidR="000A5C04" w:rsidRPr="004F0895" w:rsidRDefault="000A5C04">
      <w:pPr>
        <w:pBdr>
          <w:top w:val="nil"/>
          <w:left w:val="nil"/>
          <w:bottom w:val="nil"/>
          <w:right w:val="nil"/>
          <w:between w:val="nil"/>
        </w:pBdr>
        <w:spacing w:line="240" w:lineRule="auto"/>
        <w:ind w:left="540"/>
        <w:jc w:val="both"/>
      </w:pPr>
      <w:r w:rsidRPr="004F0895">
        <w:t>Enfin, en cas de retard d’établissement de la facture, il est admis que celle-ci doit lors de son établissement soit datée rétro activement du mois de production considéré</w:t>
      </w:r>
    </w:p>
    <w:p w14:paraId="0000007C" w14:textId="77777777" w:rsidR="00773DC3" w:rsidRDefault="00773DC3" w:rsidP="004F0895">
      <w:pPr>
        <w:pBdr>
          <w:top w:val="nil"/>
          <w:left w:val="nil"/>
          <w:bottom w:val="nil"/>
          <w:right w:val="nil"/>
          <w:between w:val="nil"/>
        </w:pBdr>
        <w:spacing w:line="240" w:lineRule="auto"/>
        <w:ind w:left="540"/>
        <w:jc w:val="both"/>
      </w:pPr>
    </w:p>
    <w:p w14:paraId="0DC3C94F" w14:textId="77777777" w:rsidR="003D3CF0" w:rsidRDefault="003D3CF0" w:rsidP="004F0895">
      <w:pPr>
        <w:pBdr>
          <w:top w:val="nil"/>
          <w:left w:val="nil"/>
          <w:bottom w:val="nil"/>
          <w:right w:val="nil"/>
          <w:between w:val="nil"/>
        </w:pBdr>
        <w:spacing w:line="240" w:lineRule="auto"/>
        <w:ind w:left="540"/>
        <w:jc w:val="both"/>
      </w:pPr>
    </w:p>
    <w:p w14:paraId="1F9EA335" w14:textId="77777777" w:rsidR="0086629E" w:rsidRDefault="0086629E" w:rsidP="0086629E">
      <w:pPr>
        <w:pBdr>
          <w:top w:val="nil"/>
          <w:left w:val="nil"/>
          <w:bottom w:val="nil"/>
          <w:right w:val="nil"/>
          <w:between w:val="nil"/>
        </w:pBdr>
        <w:shd w:val="clear" w:color="auto" w:fill="D9D9D9" w:themeFill="background1" w:themeFillShade="D9"/>
        <w:spacing w:line="240" w:lineRule="auto"/>
        <w:jc w:val="both"/>
        <w:rPr>
          <w:b/>
          <w:color w:val="244061" w:themeColor="accent1" w:themeShade="80"/>
          <w:sz w:val="28"/>
          <w:szCs w:val="28"/>
        </w:rPr>
      </w:pPr>
    </w:p>
    <w:p w14:paraId="6DE25791" w14:textId="298F02B6" w:rsidR="0086629E" w:rsidRDefault="0086629E" w:rsidP="0086629E">
      <w:pPr>
        <w:pBdr>
          <w:top w:val="nil"/>
          <w:left w:val="nil"/>
          <w:bottom w:val="nil"/>
          <w:right w:val="nil"/>
          <w:between w:val="nil"/>
        </w:pBdr>
        <w:shd w:val="clear" w:color="auto" w:fill="D9D9D9" w:themeFill="background1" w:themeFillShade="D9"/>
        <w:spacing w:line="240" w:lineRule="auto"/>
        <w:jc w:val="both"/>
        <w:rPr>
          <w:b/>
          <w:color w:val="244061" w:themeColor="accent1" w:themeShade="80"/>
          <w:sz w:val="28"/>
          <w:szCs w:val="28"/>
        </w:rPr>
      </w:pPr>
      <w:r w:rsidRPr="00D76136">
        <w:rPr>
          <w:b/>
          <w:color w:val="244061" w:themeColor="accent1" w:themeShade="80"/>
          <w:sz w:val="28"/>
          <w:szCs w:val="28"/>
        </w:rPr>
        <w:t>En situation de crise</w:t>
      </w:r>
      <w:r w:rsidR="00A27192">
        <w:rPr>
          <w:b/>
          <w:color w:val="244061" w:themeColor="accent1" w:themeShade="80"/>
          <w:sz w:val="28"/>
          <w:szCs w:val="28"/>
        </w:rPr>
        <w:t xml:space="preserve"> sanitaire</w:t>
      </w:r>
      <w:r w:rsidRPr="00D76136">
        <w:rPr>
          <w:b/>
          <w:color w:val="244061" w:themeColor="accent1" w:themeShade="80"/>
          <w:sz w:val="28"/>
          <w:szCs w:val="28"/>
        </w:rPr>
        <w:t xml:space="preserve">, s’appliquant uniquement aux activités de télétravail : </w:t>
      </w:r>
    </w:p>
    <w:p w14:paraId="37BC7E67" w14:textId="554A0DE8" w:rsidR="0086629E" w:rsidRDefault="0086629E" w:rsidP="0086629E">
      <w:pPr>
        <w:pBdr>
          <w:top w:val="nil"/>
          <w:left w:val="nil"/>
          <w:bottom w:val="nil"/>
          <w:right w:val="nil"/>
          <w:between w:val="nil"/>
        </w:pBdr>
        <w:shd w:val="clear" w:color="auto" w:fill="D9D9D9" w:themeFill="background1" w:themeFillShade="D9"/>
        <w:spacing w:line="240" w:lineRule="auto"/>
        <w:jc w:val="both"/>
        <w:rPr>
          <w:b/>
          <w:color w:val="244061" w:themeColor="accent1" w:themeShade="80"/>
          <w:sz w:val="28"/>
          <w:szCs w:val="28"/>
        </w:rPr>
      </w:pPr>
    </w:p>
    <w:p w14:paraId="15046AFB" w14:textId="4FDF2CF0" w:rsidR="0086629E" w:rsidRDefault="0086629E" w:rsidP="0086629E">
      <w:pPr>
        <w:pBdr>
          <w:top w:val="nil"/>
          <w:left w:val="nil"/>
          <w:bottom w:val="nil"/>
          <w:right w:val="nil"/>
          <w:between w:val="nil"/>
        </w:pBdr>
        <w:shd w:val="clear" w:color="auto" w:fill="D9D9D9" w:themeFill="background1" w:themeFillShade="D9"/>
        <w:spacing w:line="240" w:lineRule="auto"/>
        <w:jc w:val="both"/>
      </w:pPr>
      <w:r>
        <w:t xml:space="preserve">Les tensions de trésorerie en situation de crise renforcent la nécessité d’un comportement exemplaire de la part des donneurs d’ordre. Il est recommandé aux donneurs d’ordre de faciliter l’établissement des factures et d’opérer un règlement </w:t>
      </w:r>
      <w:r w:rsidRPr="00171E07">
        <w:rPr>
          <w:u w:val="single"/>
        </w:rPr>
        <w:t xml:space="preserve">au plus tard </w:t>
      </w:r>
      <w:r>
        <w:t>dans le délai légal</w:t>
      </w:r>
      <w:r>
        <w:t>.</w:t>
      </w:r>
    </w:p>
    <w:p w14:paraId="3FCBD8CA" w14:textId="77777777" w:rsidR="0086629E" w:rsidRDefault="0086629E" w:rsidP="0086629E">
      <w:pPr>
        <w:pBdr>
          <w:top w:val="nil"/>
          <w:left w:val="nil"/>
          <w:bottom w:val="nil"/>
          <w:right w:val="nil"/>
          <w:between w:val="nil"/>
        </w:pBdr>
        <w:shd w:val="clear" w:color="auto" w:fill="D9D9D9" w:themeFill="background1" w:themeFillShade="D9"/>
        <w:spacing w:line="240" w:lineRule="auto"/>
        <w:jc w:val="both"/>
        <w:rPr>
          <w:b/>
          <w:color w:val="244061" w:themeColor="accent1" w:themeShade="80"/>
          <w:sz w:val="28"/>
          <w:szCs w:val="28"/>
        </w:rPr>
      </w:pPr>
    </w:p>
    <w:p w14:paraId="56E4933B" w14:textId="77777777" w:rsidR="00827AE9" w:rsidRDefault="00827AE9" w:rsidP="004F0895">
      <w:pPr>
        <w:pBdr>
          <w:top w:val="nil"/>
          <w:left w:val="nil"/>
          <w:bottom w:val="nil"/>
          <w:right w:val="nil"/>
          <w:between w:val="nil"/>
        </w:pBdr>
        <w:spacing w:line="240" w:lineRule="auto"/>
        <w:ind w:left="540"/>
        <w:jc w:val="both"/>
      </w:pPr>
    </w:p>
    <w:p w14:paraId="169ED7C7" w14:textId="77777777" w:rsidR="003D3CF0" w:rsidRDefault="003D3CF0">
      <w:pPr>
        <w:pBdr>
          <w:top w:val="nil"/>
          <w:left w:val="nil"/>
          <w:bottom w:val="nil"/>
          <w:right w:val="nil"/>
          <w:between w:val="nil"/>
        </w:pBdr>
        <w:spacing w:line="240" w:lineRule="auto"/>
        <w:jc w:val="both"/>
      </w:pPr>
    </w:p>
    <w:p w14:paraId="66C89D8B" w14:textId="77777777" w:rsidR="003D3CF0" w:rsidRDefault="003D3CF0">
      <w:pPr>
        <w:pBdr>
          <w:top w:val="nil"/>
          <w:left w:val="nil"/>
          <w:bottom w:val="nil"/>
          <w:right w:val="nil"/>
          <w:between w:val="nil"/>
        </w:pBdr>
        <w:spacing w:line="240" w:lineRule="auto"/>
        <w:jc w:val="both"/>
      </w:pPr>
    </w:p>
    <w:p w14:paraId="3950DCCD" w14:textId="77777777" w:rsidR="003D3CF0" w:rsidRDefault="003D3CF0">
      <w:pPr>
        <w:pBdr>
          <w:top w:val="nil"/>
          <w:left w:val="nil"/>
          <w:bottom w:val="nil"/>
          <w:right w:val="nil"/>
          <w:between w:val="nil"/>
        </w:pBdr>
        <w:spacing w:line="240" w:lineRule="auto"/>
        <w:jc w:val="both"/>
      </w:pPr>
    </w:p>
    <w:p w14:paraId="53CB8BA4" w14:textId="77777777" w:rsidR="00117CF7" w:rsidRPr="00117CF7" w:rsidRDefault="00117CF7">
      <w:pPr>
        <w:pBdr>
          <w:top w:val="nil"/>
          <w:left w:val="nil"/>
          <w:bottom w:val="nil"/>
          <w:right w:val="nil"/>
          <w:between w:val="nil"/>
        </w:pBdr>
        <w:spacing w:line="240" w:lineRule="auto"/>
        <w:jc w:val="both"/>
        <w:rPr>
          <w:b/>
          <w:color w:val="244061" w:themeColor="accent1" w:themeShade="80"/>
        </w:rPr>
      </w:pPr>
    </w:p>
    <w:p w14:paraId="0000007E" w14:textId="0548C573" w:rsidR="00773DC3" w:rsidRPr="003D3CF0" w:rsidRDefault="00DE731B">
      <w:pPr>
        <w:pBdr>
          <w:top w:val="nil"/>
          <w:left w:val="nil"/>
          <w:bottom w:val="nil"/>
          <w:right w:val="nil"/>
          <w:between w:val="nil"/>
        </w:pBdr>
        <w:spacing w:line="240" w:lineRule="auto"/>
        <w:jc w:val="both"/>
        <w:rPr>
          <w:b/>
          <w:color w:val="244061" w:themeColor="accent1" w:themeShade="80"/>
          <w:sz w:val="36"/>
          <w:szCs w:val="36"/>
        </w:rPr>
      </w:pPr>
      <w:r>
        <w:rPr>
          <w:b/>
          <w:color w:val="244061" w:themeColor="accent1" w:themeShade="80"/>
          <w:sz w:val="36"/>
          <w:szCs w:val="36"/>
        </w:rPr>
        <w:t>7.</w:t>
      </w:r>
      <w:r w:rsidRPr="003D3CF0">
        <w:rPr>
          <w:b/>
          <w:color w:val="244061" w:themeColor="accent1" w:themeShade="80"/>
          <w:sz w:val="36"/>
          <w:szCs w:val="36"/>
        </w:rPr>
        <w:t xml:space="preserve"> Le</w:t>
      </w:r>
      <w:r w:rsidR="00040186" w:rsidRPr="003D3CF0">
        <w:rPr>
          <w:b/>
          <w:color w:val="244061" w:themeColor="accent1" w:themeShade="80"/>
          <w:sz w:val="36"/>
          <w:szCs w:val="36"/>
        </w:rPr>
        <w:t xml:space="preserve"> pilotage responsable de la fin de contrat</w:t>
      </w:r>
    </w:p>
    <w:p w14:paraId="463FCEBB" w14:textId="77777777" w:rsidR="003D3CF0" w:rsidRDefault="003D3CF0">
      <w:pPr>
        <w:pBdr>
          <w:top w:val="nil"/>
          <w:left w:val="nil"/>
          <w:bottom w:val="nil"/>
          <w:right w:val="nil"/>
          <w:between w:val="nil"/>
        </w:pBdr>
        <w:spacing w:line="240" w:lineRule="auto"/>
        <w:jc w:val="both"/>
        <w:rPr>
          <w:b/>
          <w:color w:val="33339B"/>
          <w:sz w:val="36"/>
          <w:szCs w:val="36"/>
        </w:rPr>
      </w:pPr>
    </w:p>
    <w:p w14:paraId="18EAA5BE" w14:textId="1859E7FD" w:rsidR="003D3CF0" w:rsidRPr="003D3CF0" w:rsidRDefault="003D3CF0">
      <w:pPr>
        <w:pBdr>
          <w:top w:val="nil"/>
          <w:left w:val="nil"/>
          <w:bottom w:val="nil"/>
          <w:right w:val="nil"/>
          <w:between w:val="nil"/>
        </w:pBdr>
        <w:spacing w:line="240" w:lineRule="auto"/>
        <w:jc w:val="both"/>
        <w:rPr>
          <w:b/>
          <w:color w:val="244061" w:themeColor="accent1" w:themeShade="80"/>
          <w:sz w:val="28"/>
          <w:szCs w:val="28"/>
        </w:rPr>
      </w:pPr>
      <w:r w:rsidRPr="003D3CF0">
        <w:rPr>
          <w:b/>
          <w:color w:val="244061" w:themeColor="accent1" w:themeShade="80"/>
          <w:sz w:val="28"/>
          <w:szCs w:val="28"/>
        </w:rPr>
        <w:t>Principe</w:t>
      </w:r>
      <w:r w:rsidR="00DE731B">
        <w:rPr>
          <w:b/>
          <w:color w:val="244061" w:themeColor="accent1" w:themeShade="80"/>
          <w:sz w:val="28"/>
          <w:szCs w:val="28"/>
        </w:rPr>
        <w:t> :</w:t>
      </w:r>
    </w:p>
    <w:p w14:paraId="0000007F" w14:textId="77777777" w:rsidR="00773DC3" w:rsidRDefault="00773DC3">
      <w:pPr>
        <w:pBdr>
          <w:top w:val="nil"/>
          <w:left w:val="nil"/>
          <w:bottom w:val="nil"/>
          <w:right w:val="nil"/>
          <w:between w:val="nil"/>
        </w:pBdr>
        <w:spacing w:line="240" w:lineRule="auto"/>
        <w:jc w:val="both"/>
        <w:rPr>
          <w:b/>
        </w:rPr>
      </w:pPr>
    </w:p>
    <w:p w14:paraId="00000080" w14:textId="625BB892" w:rsidR="00773DC3" w:rsidRDefault="00DE731B">
      <w:pPr>
        <w:pBdr>
          <w:top w:val="nil"/>
          <w:left w:val="nil"/>
          <w:bottom w:val="nil"/>
          <w:right w:val="nil"/>
          <w:between w:val="nil"/>
        </w:pBdr>
        <w:spacing w:line="240" w:lineRule="auto"/>
        <w:ind w:left="540"/>
        <w:jc w:val="both"/>
      </w:pPr>
      <w:r>
        <w:t>Le fin d’un</w:t>
      </w:r>
      <w:r w:rsidR="00040186">
        <w:t xml:space="preserve"> contrat peut engendrer un impact économique et social important chez le Prestataire qui doit pouvoir </w:t>
      </w:r>
      <w:r>
        <w:t xml:space="preserve">disposer du temps nécessaire pour </w:t>
      </w:r>
      <w:r w:rsidR="00040186">
        <w:t>trouver des flux</w:t>
      </w:r>
      <w:r>
        <w:t xml:space="preserve"> comparables</w:t>
      </w:r>
      <w:r w:rsidR="00040186">
        <w:t xml:space="preserve"> de substitutions</w:t>
      </w:r>
      <w:r>
        <w:t xml:space="preserve"> sans dégrader ses pratiques tarifaires</w:t>
      </w:r>
      <w:r w:rsidR="00040186">
        <w:t xml:space="preserve"> ou </w:t>
      </w:r>
      <w:r>
        <w:t xml:space="preserve">par défaut </w:t>
      </w:r>
      <w:r w:rsidR="00040186">
        <w:t>ajuster ses effectifs en activant les dis</w:t>
      </w:r>
      <w:r>
        <w:t>positifs réglementaires</w:t>
      </w:r>
      <w:r w:rsidR="00040186">
        <w:t>.</w:t>
      </w:r>
    </w:p>
    <w:p w14:paraId="4C259A85" w14:textId="12B360B4" w:rsidR="00DE731B" w:rsidRDefault="00DE731B">
      <w:pPr>
        <w:pBdr>
          <w:top w:val="nil"/>
          <w:left w:val="nil"/>
          <w:bottom w:val="nil"/>
          <w:right w:val="nil"/>
          <w:between w:val="nil"/>
        </w:pBdr>
        <w:spacing w:line="240" w:lineRule="auto"/>
        <w:ind w:left="540"/>
        <w:jc w:val="both"/>
      </w:pPr>
      <w:r>
        <w:t>L’absence d’anticipation des deux parties très en amont du terme peut générer des situations sociales particulièrement préjudiciables pour les salariés et indirectement pour  les territoires des sites de production concernés.</w:t>
      </w:r>
    </w:p>
    <w:p w14:paraId="00000081" w14:textId="77777777" w:rsidR="00773DC3" w:rsidRDefault="00773DC3">
      <w:pPr>
        <w:pBdr>
          <w:top w:val="nil"/>
          <w:left w:val="nil"/>
          <w:bottom w:val="nil"/>
          <w:right w:val="nil"/>
          <w:between w:val="nil"/>
        </w:pBdr>
        <w:spacing w:line="240" w:lineRule="auto"/>
        <w:ind w:left="540"/>
        <w:jc w:val="both"/>
      </w:pPr>
    </w:p>
    <w:p w14:paraId="00000082" w14:textId="77777777" w:rsidR="00773DC3" w:rsidRPr="003D3CF0" w:rsidRDefault="00040186">
      <w:pPr>
        <w:pBdr>
          <w:top w:val="nil"/>
          <w:left w:val="nil"/>
          <w:bottom w:val="nil"/>
          <w:right w:val="nil"/>
          <w:between w:val="nil"/>
        </w:pBdr>
        <w:spacing w:line="240" w:lineRule="auto"/>
        <w:jc w:val="both"/>
        <w:rPr>
          <w:b/>
          <w:color w:val="244061" w:themeColor="accent1" w:themeShade="80"/>
          <w:sz w:val="28"/>
          <w:szCs w:val="28"/>
        </w:rPr>
      </w:pPr>
      <w:r w:rsidRPr="003D3CF0">
        <w:rPr>
          <w:b/>
          <w:color w:val="244061" w:themeColor="accent1" w:themeShade="80"/>
          <w:sz w:val="28"/>
          <w:szCs w:val="28"/>
        </w:rPr>
        <w:t>Recommandations &amp; Pratiques responsables :</w:t>
      </w:r>
    </w:p>
    <w:p w14:paraId="00000083" w14:textId="77777777" w:rsidR="00773DC3" w:rsidRDefault="00773DC3">
      <w:pPr>
        <w:pBdr>
          <w:top w:val="nil"/>
          <w:left w:val="nil"/>
          <w:bottom w:val="nil"/>
          <w:right w:val="nil"/>
          <w:between w:val="nil"/>
        </w:pBdr>
        <w:spacing w:line="240" w:lineRule="auto"/>
        <w:jc w:val="both"/>
      </w:pPr>
    </w:p>
    <w:p w14:paraId="00000084" w14:textId="6696CF72" w:rsidR="00773DC3" w:rsidRDefault="00040186">
      <w:pPr>
        <w:pBdr>
          <w:top w:val="nil"/>
          <w:left w:val="nil"/>
          <w:bottom w:val="nil"/>
          <w:right w:val="nil"/>
          <w:between w:val="nil"/>
        </w:pBdr>
        <w:spacing w:line="240" w:lineRule="auto"/>
        <w:ind w:left="540"/>
        <w:jc w:val="both"/>
      </w:pPr>
      <w:r>
        <w:t>Il est donc recommandé dans pareilles situation et p</w:t>
      </w:r>
      <w:r w:rsidR="0023008B">
        <w:t xml:space="preserve">our les dispositifs de plus de 30 équivalents temps pleins </w:t>
      </w:r>
      <w:r w:rsidR="00DE731B">
        <w:t>et/</w:t>
      </w:r>
      <w:r>
        <w:t>ou</w:t>
      </w:r>
      <w:r w:rsidR="00DE731B">
        <w:t xml:space="preserve"> représentant</w:t>
      </w:r>
      <w:r>
        <w:t xml:space="preserve"> plus de 50% </w:t>
      </w:r>
      <w:r w:rsidR="00DE731B">
        <w:t xml:space="preserve">des effectifs </w:t>
      </w:r>
      <w:r>
        <w:t>d’un site ou d’un dispositif) de veiller au respect des prescriptions suivantes :</w:t>
      </w:r>
    </w:p>
    <w:p w14:paraId="00000085" w14:textId="77777777" w:rsidR="00773DC3" w:rsidRDefault="00773DC3">
      <w:pPr>
        <w:pBdr>
          <w:top w:val="nil"/>
          <w:left w:val="nil"/>
          <w:bottom w:val="nil"/>
          <w:right w:val="nil"/>
          <w:between w:val="nil"/>
        </w:pBdr>
        <w:spacing w:line="240" w:lineRule="auto"/>
        <w:ind w:left="540"/>
        <w:jc w:val="both"/>
      </w:pPr>
    </w:p>
    <w:p w14:paraId="00000086" w14:textId="27FAE9ED" w:rsidR="00773DC3" w:rsidRPr="004F0895" w:rsidRDefault="00040186">
      <w:pPr>
        <w:pBdr>
          <w:top w:val="nil"/>
          <w:left w:val="nil"/>
          <w:bottom w:val="nil"/>
          <w:right w:val="nil"/>
          <w:between w:val="nil"/>
        </w:pBdr>
        <w:spacing w:line="240" w:lineRule="auto"/>
        <w:ind w:left="540"/>
        <w:jc w:val="both"/>
      </w:pPr>
      <w:r w:rsidRPr="004F0895">
        <w:t xml:space="preserve">- </w:t>
      </w:r>
      <w:r w:rsidR="00DE731B" w:rsidRPr="004F0895">
        <w:t xml:space="preserve"> En cohérence avec la jurisprudence en pareil cas </w:t>
      </w:r>
      <w:r w:rsidRPr="004F0895">
        <w:t>de respecter u</w:t>
      </w:r>
      <w:r w:rsidR="00DE731B" w:rsidRPr="004F0895">
        <w:t>n délai de prévenance prenant en compte l’antériorité du contrat</w:t>
      </w:r>
      <w:r w:rsidRPr="004F0895">
        <w:t>,</w:t>
      </w:r>
      <w:r w:rsidR="00DE731B" w:rsidRPr="004F0895">
        <w:t xml:space="preserve"> l’effectif concerné, la spécificité de l’activité et la dynamique du bassin d’emploi.</w:t>
      </w:r>
    </w:p>
    <w:p w14:paraId="00000087" w14:textId="77777777" w:rsidR="00773DC3" w:rsidRDefault="00773DC3">
      <w:pPr>
        <w:pBdr>
          <w:top w:val="nil"/>
          <w:left w:val="nil"/>
          <w:bottom w:val="nil"/>
          <w:right w:val="nil"/>
          <w:between w:val="nil"/>
        </w:pBdr>
        <w:spacing w:line="240" w:lineRule="auto"/>
        <w:ind w:left="540"/>
        <w:jc w:val="both"/>
      </w:pPr>
    </w:p>
    <w:p w14:paraId="00000088" w14:textId="72A3B391" w:rsidR="00773DC3" w:rsidRPr="004F0895" w:rsidRDefault="00DE731B">
      <w:pPr>
        <w:pBdr>
          <w:top w:val="nil"/>
          <w:left w:val="nil"/>
          <w:bottom w:val="nil"/>
          <w:right w:val="nil"/>
          <w:between w:val="nil"/>
        </w:pBdr>
        <w:spacing w:line="240" w:lineRule="auto"/>
        <w:ind w:left="540"/>
        <w:jc w:val="both"/>
      </w:pPr>
      <w:r w:rsidRPr="004F0895">
        <w:t>- D</w:t>
      </w:r>
      <w:r w:rsidR="00040186" w:rsidRPr="004F0895">
        <w:t>’engager la</w:t>
      </w:r>
      <w:r w:rsidRPr="004F0895">
        <w:t xml:space="preserve"> période de</w:t>
      </w:r>
      <w:r w:rsidR="00040186" w:rsidRPr="004F0895">
        <w:t xml:space="preserve"> dé</w:t>
      </w:r>
      <w:r w:rsidRPr="004F0895">
        <w:t>croissance à partir du terme du contrat en non pas à l’intérieur de celui-ci</w:t>
      </w:r>
      <w:r w:rsidR="00040186" w:rsidRPr="004F0895">
        <w:t>,</w:t>
      </w:r>
    </w:p>
    <w:p w14:paraId="00000089" w14:textId="77777777" w:rsidR="00773DC3" w:rsidRDefault="00773DC3">
      <w:pPr>
        <w:pBdr>
          <w:top w:val="nil"/>
          <w:left w:val="nil"/>
          <w:bottom w:val="nil"/>
          <w:right w:val="nil"/>
          <w:between w:val="nil"/>
        </w:pBdr>
        <w:spacing w:line="240" w:lineRule="auto"/>
        <w:ind w:left="540"/>
        <w:jc w:val="both"/>
      </w:pPr>
    </w:p>
    <w:p w14:paraId="0000008A" w14:textId="56FA12B3" w:rsidR="00773DC3" w:rsidRDefault="00DE731B">
      <w:pPr>
        <w:pBdr>
          <w:top w:val="nil"/>
          <w:left w:val="nil"/>
          <w:bottom w:val="nil"/>
          <w:right w:val="nil"/>
          <w:between w:val="nil"/>
        </w:pBdr>
        <w:spacing w:line="240" w:lineRule="auto"/>
        <w:ind w:left="540"/>
        <w:jc w:val="both"/>
      </w:pPr>
      <w:r>
        <w:t>- D</w:t>
      </w:r>
      <w:r w:rsidR="00B745AA">
        <w:t>’ajuster l’application des m</w:t>
      </w:r>
      <w:r w:rsidR="00040186">
        <w:t>alus et des pénalités à cette situation exceptionnelle,</w:t>
      </w:r>
    </w:p>
    <w:p w14:paraId="0000008B" w14:textId="77777777" w:rsidR="00773DC3" w:rsidRDefault="00773DC3">
      <w:pPr>
        <w:pBdr>
          <w:top w:val="nil"/>
          <w:left w:val="nil"/>
          <w:bottom w:val="nil"/>
          <w:right w:val="nil"/>
          <w:between w:val="nil"/>
        </w:pBdr>
        <w:spacing w:line="240" w:lineRule="auto"/>
        <w:ind w:left="540"/>
        <w:jc w:val="both"/>
      </w:pPr>
    </w:p>
    <w:p w14:paraId="0000008C" w14:textId="18C3686C" w:rsidR="00773DC3" w:rsidRDefault="00DE731B">
      <w:pPr>
        <w:pBdr>
          <w:top w:val="nil"/>
          <w:left w:val="nil"/>
          <w:bottom w:val="nil"/>
          <w:right w:val="nil"/>
          <w:between w:val="nil"/>
        </w:pBdr>
        <w:spacing w:line="240" w:lineRule="auto"/>
        <w:ind w:left="540"/>
        <w:jc w:val="both"/>
      </w:pPr>
      <w:r>
        <w:t>- D</w:t>
      </w:r>
      <w:r w:rsidR="00040186">
        <w:t>e privilégier la reprise de nouvelles activités en ajustant le cas échéant</w:t>
      </w:r>
      <w:r>
        <w:t xml:space="preserve"> et d’un commun accord</w:t>
      </w:r>
      <w:r w:rsidR="00040186">
        <w:t xml:space="preserve"> les plans de décroissance.</w:t>
      </w:r>
    </w:p>
    <w:p w14:paraId="324D6D10" w14:textId="77777777" w:rsidR="00663E66" w:rsidRDefault="00663E66">
      <w:pPr>
        <w:pBdr>
          <w:top w:val="nil"/>
          <w:left w:val="nil"/>
          <w:bottom w:val="nil"/>
          <w:right w:val="nil"/>
          <w:between w:val="nil"/>
        </w:pBdr>
        <w:spacing w:line="240" w:lineRule="auto"/>
        <w:ind w:left="540"/>
        <w:jc w:val="both"/>
      </w:pPr>
    </w:p>
    <w:p w14:paraId="5F5DC3AC" w14:textId="57959376" w:rsidR="00663E66" w:rsidRDefault="00A96409" w:rsidP="00663E66">
      <w:pPr>
        <w:pStyle w:val="Paragraphedeliste"/>
        <w:numPr>
          <w:ilvl w:val="0"/>
          <w:numId w:val="1"/>
        </w:numPr>
        <w:pBdr>
          <w:top w:val="nil"/>
          <w:left w:val="nil"/>
          <w:bottom w:val="nil"/>
          <w:right w:val="nil"/>
          <w:between w:val="nil"/>
        </w:pBdr>
        <w:spacing w:line="240" w:lineRule="auto"/>
        <w:jc w:val="both"/>
      </w:pPr>
      <w:r>
        <w:t>D</w:t>
      </w:r>
      <w:r w:rsidR="00663E66" w:rsidRPr="00663E66">
        <w:t xml:space="preserve">ans le cas </w:t>
      </w:r>
      <w:r w:rsidR="00DE731B">
        <w:t xml:space="preserve">recommandé </w:t>
      </w:r>
      <w:r w:rsidR="00663E66" w:rsidRPr="00663E66">
        <w:t>où la décroissance requise dépasse le terme initial du contrat, celui-ci se trouve prorogé pour la période nécessaire à la décroissance sous réserve que les bonus/malus soient aménagés sur cette période.</w:t>
      </w:r>
    </w:p>
    <w:p w14:paraId="176B9CAE" w14:textId="77777777" w:rsidR="003D3CF0" w:rsidRDefault="003D3CF0" w:rsidP="00DE731B">
      <w:pPr>
        <w:pBdr>
          <w:top w:val="nil"/>
          <w:left w:val="nil"/>
          <w:bottom w:val="nil"/>
          <w:right w:val="nil"/>
          <w:between w:val="nil"/>
        </w:pBdr>
        <w:spacing w:line="240" w:lineRule="auto"/>
        <w:ind w:left="540"/>
        <w:jc w:val="both"/>
      </w:pPr>
    </w:p>
    <w:p w14:paraId="0000008D" w14:textId="77777777" w:rsidR="00773DC3" w:rsidRDefault="00773DC3">
      <w:pPr>
        <w:pBdr>
          <w:top w:val="nil"/>
          <w:left w:val="nil"/>
          <w:bottom w:val="nil"/>
          <w:right w:val="nil"/>
          <w:between w:val="nil"/>
        </w:pBdr>
        <w:spacing w:line="240" w:lineRule="auto"/>
        <w:ind w:left="540"/>
        <w:jc w:val="both"/>
      </w:pPr>
    </w:p>
    <w:p w14:paraId="54D4F075" w14:textId="77777777" w:rsidR="0086629E" w:rsidRDefault="0086629E" w:rsidP="0086629E">
      <w:pPr>
        <w:pBdr>
          <w:top w:val="nil"/>
          <w:left w:val="nil"/>
          <w:bottom w:val="nil"/>
          <w:right w:val="nil"/>
          <w:between w:val="nil"/>
        </w:pBdr>
        <w:shd w:val="clear" w:color="auto" w:fill="D9D9D9" w:themeFill="background1" w:themeFillShade="D9"/>
        <w:spacing w:line="240" w:lineRule="auto"/>
        <w:jc w:val="both"/>
        <w:rPr>
          <w:b/>
          <w:color w:val="244061" w:themeColor="accent1" w:themeShade="80"/>
          <w:sz w:val="28"/>
          <w:szCs w:val="28"/>
        </w:rPr>
      </w:pPr>
    </w:p>
    <w:p w14:paraId="3E8EC60B" w14:textId="360E1BEA" w:rsidR="0086629E" w:rsidRDefault="0086629E" w:rsidP="0086629E">
      <w:pPr>
        <w:pBdr>
          <w:top w:val="nil"/>
          <w:left w:val="nil"/>
          <w:bottom w:val="nil"/>
          <w:right w:val="nil"/>
          <w:between w:val="nil"/>
        </w:pBdr>
        <w:shd w:val="clear" w:color="auto" w:fill="D9D9D9" w:themeFill="background1" w:themeFillShade="D9"/>
        <w:spacing w:line="240" w:lineRule="auto"/>
        <w:jc w:val="both"/>
        <w:rPr>
          <w:b/>
          <w:color w:val="244061" w:themeColor="accent1" w:themeShade="80"/>
          <w:sz w:val="28"/>
          <w:szCs w:val="28"/>
        </w:rPr>
      </w:pPr>
      <w:r w:rsidRPr="00D76136">
        <w:rPr>
          <w:b/>
          <w:color w:val="244061" w:themeColor="accent1" w:themeShade="80"/>
          <w:sz w:val="28"/>
          <w:szCs w:val="28"/>
        </w:rPr>
        <w:t>En situation de crise</w:t>
      </w:r>
      <w:r w:rsidR="00A27192">
        <w:rPr>
          <w:b/>
          <w:color w:val="244061" w:themeColor="accent1" w:themeShade="80"/>
          <w:sz w:val="28"/>
          <w:szCs w:val="28"/>
        </w:rPr>
        <w:t xml:space="preserve"> sanitaire</w:t>
      </w:r>
      <w:r w:rsidRPr="00D76136">
        <w:rPr>
          <w:b/>
          <w:color w:val="244061" w:themeColor="accent1" w:themeShade="80"/>
          <w:sz w:val="28"/>
          <w:szCs w:val="28"/>
        </w:rPr>
        <w:t xml:space="preserve">, s’appliquant uniquement aux activités de télétravail : </w:t>
      </w:r>
    </w:p>
    <w:p w14:paraId="5BBC015A" w14:textId="6EF08707" w:rsidR="0086629E" w:rsidRDefault="0086629E" w:rsidP="0086629E">
      <w:pPr>
        <w:pBdr>
          <w:top w:val="nil"/>
          <w:left w:val="nil"/>
          <w:bottom w:val="nil"/>
          <w:right w:val="nil"/>
          <w:between w:val="nil"/>
        </w:pBdr>
        <w:shd w:val="clear" w:color="auto" w:fill="D9D9D9" w:themeFill="background1" w:themeFillShade="D9"/>
        <w:spacing w:line="240" w:lineRule="auto"/>
        <w:jc w:val="both"/>
        <w:rPr>
          <w:b/>
          <w:color w:val="244061" w:themeColor="accent1" w:themeShade="80"/>
          <w:sz w:val="28"/>
          <w:szCs w:val="28"/>
        </w:rPr>
      </w:pPr>
    </w:p>
    <w:p w14:paraId="1C790517" w14:textId="69C50C69" w:rsidR="0086629E" w:rsidRDefault="0086629E" w:rsidP="0086629E">
      <w:pPr>
        <w:pBdr>
          <w:top w:val="nil"/>
          <w:left w:val="nil"/>
          <w:bottom w:val="nil"/>
          <w:right w:val="nil"/>
          <w:between w:val="nil"/>
        </w:pBdr>
        <w:shd w:val="clear" w:color="auto" w:fill="D9D9D9" w:themeFill="background1" w:themeFillShade="D9"/>
        <w:spacing w:line="240" w:lineRule="auto"/>
        <w:jc w:val="both"/>
        <w:rPr>
          <w:b/>
          <w:color w:val="244061" w:themeColor="accent1" w:themeShade="80"/>
          <w:sz w:val="28"/>
          <w:szCs w:val="28"/>
        </w:rPr>
      </w:pPr>
      <w:r>
        <w:t>Il est recommandé aux donneurs d’ordre de prolonger d’une durée de 3/6 mois minimum toute échéance contractuelle majeure dont le terme surviendrait durant la crise sanitaire et a fortiori si la prestation est assurée sur plusieurs prestataires.</w:t>
      </w:r>
    </w:p>
    <w:p w14:paraId="0000008F" w14:textId="77777777" w:rsidR="00773DC3" w:rsidRDefault="00773DC3" w:rsidP="0086629E">
      <w:pPr>
        <w:pBdr>
          <w:top w:val="nil"/>
          <w:left w:val="nil"/>
          <w:bottom w:val="nil"/>
          <w:right w:val="nil"/>
          <w:between w:val="nil"/>
        </w:pBdr>
        <w:shd w:val="clear" w:color="auto" w:fill="D9D9D9" w:themeFill="background1" w:themeFillShade="D9"/>
        <w:spacing w:line="240" w:lineRule="auto"/>
        <w:jc w:val="both"/>
        <w:rPr>
          <w:b/>
        </w:rPr>
      </w:pPr>
    </w:p>
    <w:p w14:paraId="337019E3" w14:textId="77777777" w:rsidR="00827AE9" w:rsidRDefault="00827AE9">
      <w:pPr>
        <w:pBdr>
          <w:top w:val="nil"/>
          <w:left w:val="nil"/>
          <w:bottom w:val="nil"/>
          <w:right w:val="nil"/>
          <w:between w:val="nil"/>
        </w:pBdr>
        <w:spacing w:line="240" w:lineRule="auto"/>
        <w:jc w:val="both"/>
        <w:rPr>
          <w:b/>
        </w:rPr>
      </w:pPr>
    </w:p>
    <w:p w14:paraId="42A14253" w14:textId="77777777" w:rsidR="0023008B" w:rsidRDefault="0023008B">
      <w:pPr>
        <w:pBdr>
          <w:top w:val="nil"/>
          <w:left w:val="nil"/>
          <w:bottom w:val="nil"/>
          <w:right w:val="nil"/>
          <w:between w:val="nil"/>
        </w:pBdr>
        <w:spacing w:line="240" w:lineRule="auto"/>
        <w:jc w:val="both"/>
        <w:rPr>
          <w:b/>
        </w:rPr>
      </w:pPr>
    </w:p>
    <w:p w14:paraId="3F7A31EF" w14:textId="77777777" w:rsidR="0023008B" w:rsidRDefault="0023008B">
      <w:pPr>
        <w:pBdr>
          <w:top w:val="nil"/>
          <w:left w:val="nil"/>
          <w:bottom w:val="nil"/>
          <w:right w:val="nil"/>
          <w:between w:val="nil"/>
        </w:pBdr>
        <w:spacing w:line="240" w:lineRule="auto"/>
        <w:jc w:val="both"/>
        <w:rPr>
          <w:b/>
        </w:rPr>
      </w:pPr>
    </w:p>
    <w:p w14:paraId="01CDA7F3" w14:textId="36616EDF" w:rsidR="00827AE9" w:rsidRPr="00B745AA" w:rsidRDefault="00465BD6" w:rsidP="00B745AA">
      <w:pPr>
        <w:pStyle w:val="Paragraphedeliste"/>
        <w:numPr>
          <w:ilvl w:val="0"/>
          <w:numId w:val="9"/>
        </w:numPr>
        <w:pBdr>
          <w:top w:val="nil"/>
          <w:left w:val="nil"/>
          <w:bottom w:val="nil"/>
          <w:right w:val="nil"/>
          <w:between w:val="nil"/>
        </w:pBdr>
        <w:spacing w:line="240" w:lineRule="auto"/>
        <w:jc w:val="both"/>
        <w:rPr>
          <w:b/>
          <w:color w:val="0F243E" w:themeColor="text2" w:themeShade="80"/>
          <w:sz w:val="36"/>
          <w:szCs w:val="36"/>
        </w:rPr>
      </w:pPr>
      <w:r w:rsidRPr="00B745AA">
        <w:rPr>
          <w:b/>
          <w:color w:val="0F243E" w:themeColor="text2" w:themeShade="80"/>
          <w:sz w:val="36"/>
          <w:szCs w:val="36"/>
        </w:rPr>
        <w:t xml:space="preserve">Limitation de </w:t>
      </w:r>
      <w:r w:rsidR="00A96409" w:rsidRPr="00B745AA">
        <w:rPr>
          <w:b/>
          <w:color w:val="0F243E" w:themeColor="text2" w:themeShade="80"/>
          <w:sz w:val="36"/>
          <w:szCs w:val="36"/>
        </w:rPr>
        <w:t>Responsabilité</w:t>
      </w:r>
    </w:p>
    <w:p w14:paraId="49B0D1AC" w14:textId="77777777" w:rsidR="00827AE9" w:rsidRDefault="00827AE9">
      <w:pPr>
        <w:pBdr>
          <w:top w:val="nil"/>
          <w:left w:val="nil"/>
          <w:bottom w:val="nil"/>
          <w:right w:val="nil"/>
          <w:between w:val="nil"/>
        </w:pBdr>
        <w:spacing w:line="240" w:lineRule="auto"/>
        <w:jc w:val="both"/>
        <w:rPr>
          <w:b/>
        </w:rPr>
      </w:pPr>
    </w:p>
    <w:p w14:paraId="4D9A1C4A" w14:textId="77777777" w:rsidR="00117CF7" w:rsidRDefault="00117CF7">
      <w:pPr>
        <w:pBdr>
          <w:top w:val="nil"/>
          <w:left w:val="nil"/>
          <w:bottom w:val="nil"/>
          <w:right w:val="nil"/>
          <w:between w:val="nil"/>
        </w:pBdr>
        <w:spacing w:line="240" w:lineRule="auto"/>
        <w:jc w:val="both"/>
        <w:rPr>
          <w:b/>
          <w:color w:val="244061" w:themeColor="accent1" w:themeShade="80"/>
          <w:sz w:val="28"/>
          <w:szCs w:val="28"/>
        </w:rPr>
      </w:pPr>
    </w:p>
    <w:p w14:paraId="0ACBAD5C" w14:textId="42B8FBA1" w:rsidR="00827AE9" w:rsidRDefault="00A96409">
      <w:pPr>
        <w:pBdr>
          <w:top w:val="nil"/>
          <w:left w:val="nil"/>
          <w:bottom w:val="nil"/>
          <w:right w:val="nil"/>
          <w:between w:val="nil"/>
        </w:pBdr>
        <w:spacing w:line="240" w:lineRule="auto"/>
        <w:jc w:val="both"/>
        <w:rPr>
          <w:b/>
          <w:color w:val="244061" w:themeColor="accent1" w:themeShade="80"/>
          <w:sz w:val="28"/>
          <w:szCs w:val="28"/>
        </w:rPr>
      </w:pPr>
      <w:r w:rsidRPr="00465BD6">
        <w:rPr>
          <w:b/>
          <w:color w:val="244061" w:themeColor="accent1" w:themeShade="80"/>
          <w:sz w:val="28"/>
          <w:szCs w:val="28"/>
        </w:rPr>
        <w:t>Principe</w:t>
      </w:r>
    </w:p>
    <w:p w14:paraId="0265C406" w14:textId="77777777" w:rsidR="00465BD6" w:rsidRDefault="00465BD6">
      <w:pPr>
        <w:pBdr>
          <w:top w:val="nil"/>
          <w:left w:val="nil"/>
          <w:bottom w:val="nil"/>
          <w:right w:val="nil"/>
          <w:between w:val="nil"/>
        </w:pBdr>
        <w:spacing w:line="240" w:lineRule="auto"/>
        <w:jc w:val="both"/>
        <w:rPr>
          <w:b/>
          <w:color w:val="244061" w:themeColor="accent1" w:themeShade="80"/>
          <w:sz w:val="28"/>
          <w:szCs w:val="28"/>
        </w:rPr>
      </w:pPr>
    </w:p>
    <w:p w14:paraId="2FF276CC" w14:textId="2C66E285" w:rsidR="00465BD6" w:rsidRPr="004F0895" w:rsidRDefault="00695FD2" w:rsidP="004F0895">
      <w:pPr>
        <w:pBdr>
          <w:top w:val="nil"/>
          <w:left w:val="nil"/>
          <w:bottom w:val="nil"/>
          <w:right w:val="nil"/>
          <w:between w:val="nil"/>
        </w:pBdr>
        <w:spacing w:line="240" w:lineRule="auto"/>
        <w:ind w:left="540"/>
        <w:jc w:val="both"/>
      </w:pPr>
      <w:r w:rsidRPr="004F0895">
        <w:t xml:space="preserve">Des dérives récentes appellent la </w:t>
      </w:r>
      <w:r w:rsidR="00465BD6" w:rsidRPr="004F0895">
        <w:t xml:space="preserve">nécessité de circonscrire la prise en charge des dommages résultant d’une inexécution contractuelle aux seuls dommages ayant causé directement un préjudice au </w:t>
      </w:r>
      <w:r w:rsidR="0023008B" w:rsidRPr="004F0895">
        <w:t>Donneur d’ordre</w:t>
      </w:r>
      <w:r w:rsidRPr="004F0895">
        <w:t xml:space="preserve"> </w:t>
      </w:r>
      <w:r w:rsidR="00465BD6" w:rsidRPr="004F0895">
        <w:t xml:space="preserve">dans les conditions définies </w:t>
      </w:r>
      <w:r w:rsidR="00221B8A" w:rsidRPr="004F0895">
        <w:t>par la loi e</w:t>
      </w:r>
      <w:r w:rsidRPr="004F0895">
        <w:t>t la jurisprudence.</w:t>
      </w:r>
    </w:p>
    <w:p w14:paraId="151DBA40" w14:textId="77777777" w:rsidR="00465BD6" w:rsidRPr="00221B8A" w:rsidRDefault="00465BD6">
      <w:pPr>
        <w:pBdr>
          <w:top w:val="nil"/>
          <w:left w:val="nil"/>
          <w:bottom w:val="nil"/>
          <w:right w:val="nil"/>
          <w:between w:val="nil"/>
        </w:pBdr>
        <w:spacing w:line="240" w:lineRule="auto"/>
        <w:jc w:val="both"/>
        <w:rPr>
          <w:b/>
          <w:sz w:val="28"/>
          <w:szCs w:val="28"/>
        </w:rPr>
      </w:pPr>
    </w:p>
    <w:p w14:paraId="307EF934" w14:textId="77777777" w:rsidR="00465BD6" w:rsidRPr="00465BD6" w:rsidRDefault="00465BD6">
      <w:pPr>
        <w:pBdr>
          <w:top w:val="nil"/>
          <w:left w:val="nil"/>
          <w:bottom w:val="nil"/>
          <w:right w:val="nil"/>
          <w:between w:val="nil"/>
        </w:pBdr>
        <w:spacing w:line="240" w:lineRule="auto"/>
        <w:jc w:val="both"/>
        <w:rPr>
          <w:b/>
          <w:color w:val="244061" w:themeColor="accent1" w:themeShade="80"/>
          <w:sz w:val="28"/>
          <w:szCs w:val="28"/>
        </w:rPr>
      </w:pPr>
    </w:p>
    <w:p w14:paraId="3FC83550" w14:textId="0C5F6A65" w:rsidR="00A96409" w:rsidRDefault="00A96409">
      <w:pPr>
        <w:pBdr>
          <w:top w:val="nil"/>
          <w:left w:val="nil"/>
          <w:bottom w:val="nil"/>
          <w:right w:val="nil"/>
          <w:between w:val="nil"/>
        </w:pBdr>
        <w:spacing w:line="240" w:lineRule="auto"/>
        <w:jc w:val="both"/>
        <w:rPr>
          <w:b/>
          <w:color w:val="244061" w:themeColor="accent1" w:themeShade="80"/>
          <w:sz w:val="28"/>
          <w:szCs w:val="28"/>
        </w:rPr>
      </w:pPr>
      <w:r w:rsidRPr="00465BD6">
        <w:rPr>
          <w:b/>
          <w:color w:val="244061" w:themeColor="accent1" w:themeShade="80"/>
          <w:sz w:val="28"/>
          <w:szCs w:val="28"/>
        </w:rPr>
        <w:t>Recommandations et pratiques responsables</w:t>
      </w:r>
    </w:p>
    <w:p w14:paraId="122B031B" w14:textId="77777777" w:rsidR="00465BD6" w:rsidRDefault="00465BD6">
      <w:pPr>
        <w:pBdr>
          <w:top w:val="nil"/>
          <w:left w:val="nil"/>
          <w:bottom w:val="nil"/>
          <w:right w:val="nil"/>
          <w:between w:val="nil"/>
        </w:pBdr>
        <w:spacing w:line="240" w:lineRule="auto"/>
        <w:jc w:val="both"/>
        <w:rPr>
          <w:b/>
          <w:color w:val="244061" w:themeColor="accent1" w:themeShade="80"/>
          <w:sz w:val="28"/>
          <w:szCs w:val="28"/>
        </w:rPr>
      </w:pPr>
    </w:p>
    <w:p w14:paraId="3292B42C" w14:textId="3EA66F36" w:rsidR="00465BD6" w:rsidRDefault="00465BD6" w:rsidP="004F0895">
      <w:pPr>
        <w:pStyle w:val="Paragraphedeliste"/>
        <w:numPr>
          <w:ilvl w:val="0"/>
          <w:numId w:val="1"/>
        </w:numPr>
        <w:pBdr>
          <w:top w:val="nil"/>
          <w:left w:val="nil"/>
          <w:bottom w:val="nil"/>
          <w:right w:val="nil"/>
          <w:between w:val="nil"/>
        </w:pBdr>
        <w:spacing w:line="240" w:lineRule="auto"/>
        <w:jc w:val="both"/>
      </w:pPr>
      <w:r w:rsidRPr="004F0895">
        <w:t xml:space="preserve">Il est recommandé d’instaurer un plafond limitatif de responsabilité, tous dommages confondus, évalué en cohérence avec le montant annuel HT du chiffre d’affaires généré par la seule activité confiée et concernée. </w:t>
      </w:r>
    </w:p>
    <w:p w14:paraId="120531BA" w14:textId="77777777" w:rsidR="004F0895" w:rsidRPr="004F0895" w:rsidRDefault="004F0895" w:rsidP="004F0895">
      <w:pPr>
        <w:pStyle w:val="Paragraphedeliste"/>
        <w:pBdr>
          <w:top w:val="nil"/>
          <w:left w:val="nil"/>
          <w:bottom w:val="nil"/>
          <w:right w:val="nil"/>
          <w:between w:val="nil"/>
        </w:pBdr>
        <w:spacing w:line="240" w:lineRule="auto"/>
        <w:ind w:left="900"/>
        <w:jc w:val="both"/>
      </w:pPr>
    </w:p>
    <w:p w14:paraId="03944A99" w14:textId="0A8C68E7" w:rsidR="00465BD6" w:rsidRPr="004F0895" w:rsidRDefault="00465BD6" w:rsidP="004F0895">
      <w:pPr>
        <w:pStyle w:val="Paragraphedeliste"/>
        <w:numPr>
          <w:ilvl w:val="0"/>
          <w:numId w:val="1"/>
        </w:numPr>
        <w:pBdr>
          <w:top w:val="nil"/>
          <w:left w:val="nil"/>
          <w:bottom w:val="nil"/>
          <w:right w:val="nil"/>
          <w:between w:val="nil"/>
        </w:pBdr>
        <w:spacing w:line="240" w:lineRule="auto"/>
        <w:jc w:val="both"/>
      </w:pPr>
      <w:r w:rsidRPr="004F0895">
        <w:t>Une pratique sécurisante pour le Prestataire consisterait à ne pas accepter d’exception au principe de ce plafond et plus précisément concernant les dommages résultant du non-respect des obligations relatives à la propriété intellectuelle et/ou aux données à caractère personnel.</w:t>
      </w:r>
    </w:p>
    <w:p w14:paraId="349B0F1E" w14:textId="77777777" w:rsidR="00465BD6" w:rsidRPr="00B745AA" w:rsidRDefault="00465BD6" w:rsidP="00465BD6">
      <w:pPr>
        <w:pStyle w:val="Paragraphedeliste"/>
        <w:pBdr>
          <w:top w:val="nil"/>
          <w:left w:val="nil"/>
          <w:bottom w:val="nil"/>
          <w:right w:val="nil"/>
          <w:between w:val="nil"/>
        </w:pBdr>
        <w:spacing w:line="240" w:lineRule="auto"/>
        <w:ind w:left="900"/>
        <w:jc w:val="both"/>
        <w:rPr>
          <w:color w:val="FF0000"/>
        </w:rPr>
      </w:pPr>
    </w:p>
    <w:p w14:paraId="41F494E1" w14:textId="77777777" w:rsidR="00A96409" w:rsidRDefault="00A96409">
      <w:pPr>
        <w:pBdr>
          <w:top w:val="nil"/>
          <w:left w:val="nil"/>
          <w:bottom w:val="nil"/>
          <w:right w:val="nil"/>
          <w:between w:val="nil"/>
        </w:pBdr>
        <w:spacing w:line="240" w:lineRule="auto"/>
        <w:jc w:val="both"/>
        <w:rPr>
          <w:b/>
        </w:rPr>
      </w:pPr>
    </w:p>
    <w:p w14:paraId="5F004FF5" w14:textId="77777777" w:rsidR="00A96409" w:rsidRDefault="00A96409">
      <w:pPr>
        <w:pBdr>
          <w:top w:val="nil"/>
          <w:left w:val="nil"/>
          <w:bottom w:val="nil"/>
          <w:right w:val="nil"/>
          <w:between w:val="nil"/>
        </w:pBdr>
        <w:spacing w:line="240" w:lineRule="auto"/>
        <w:jc w:val="both"/>
        <w:rPr>
          <w:b/>
        </w:rPr>
      </w:pPr>
    </w:p>
    <w:p w14:paraId="13852729" w14:textId="77777777" w:rsidR="0086629E" w:rsidRDefault="0086629E" w:rsidP="0086629E">
      <w:pPr>
        <w:pBdr>
          <w:top w:val="nil"/>
          <w:left w:val="nil"/>
          <w:bottom w:val="nil"/>
          <w:right w:val="nil"/>
          <w:between w:val="nil"/>
        </w:pBdr>
        <w:shd w:val="clear" w:color="auto" w:fill="D9D9D9" w:themeFill="background1" w:themeFillShade="D9"/>
        <w:spacing w:line="240" w:lineRule="auto"/>
        <w:jc w:val="both"/>
        <w:rPr>
          <w:b/>
          <w:color w:val="244061" w:themeColor="accent1" w:themeShade="80"/>
          <w:sz w:val="28"/>
          <w:szCs w:val="28"/>
        </w:rPr>
      </w:pPr>
    </w:p>
    <w:p w14:paraId="3EB2CFC5" w14:textId="554DED96" w:rsidR="0086629E" w:rsidRDefault="0086629E" w:rsidP="0086629E">
      <w:pPr>
        <w:pBdr>
          <w:top w:val="nil"/>
          <w:left w:val="nil"/>
          <w:bottom w:val="nil"/>
          <w:right w:val="nil"/>
          <w:between w:val="nil"/>
        </w:pBdr>
        <w:shd w:val="clear" w:color="auto" w:fill="D9D9D9" w:themeFill="background1" w:themeFillShade="D9"/>
        <w:spacing w:line="240" w:lineRule="auto"/>
        <w:jc w:val="both"/>
        <w:rPr>
          <w:b/>
          <w:color w:val="244061" w:themeColor="accent1" w:themeShade="80"/>
          <w:sz w:val="28"/>
          <w:szCs w:val="28"/>
        </w:rPr>
      </w:pPr>
      <w:r w:rsidRPr="00D76136">
        <w:rPr>
          <w:b/>
          <w:color w:val="244061" w:themeColor="accent1" w:themeShade="80"/>
          <w:sz w:val="28"/>
          <w:szCs w:val="28"/>
        </w:rPr>
        <w:t>En situation de crise</w:t>
      </w:r>
      <w:r w:rsidR="00A27192">
        <w:rPr>
          <w:b/>
          <w:color w:val="244061" w:themeColor="accent1" w:themeShade="80"/>
          <w:sz w:val="28"/>
          <w:szCs w:val="28"/>
        </w:rPr>
        <w:t xml:space="preserve"> sanitaire</w:t>
      </w:r>
      <w:bookmarkStart w:id="0" w:name="_GoBack"/>
      <w:bookmarkEnd w:id="0"/>
      <w:r w:rsidRPr="00D76136">
        <w:rPr>
          <w:b/>
          <w:color w:val="244061" w:themeColor="accent1" w:themeShade="80"/>
          <w:sz w:val="28"/>
          <w:szCs w:val="28"/>
        </w:rPr>
        <w:t xml:space="preserve">, s’appliquant uniquement aux activités de télétravail : </w:t>
      </w:r>
    </w:p>
    <w:p w14:paraId="739F644A" w14:textId="77777777" w:rsidR="0086629E" w:rsidRDefault="0086629E" w:rsidP="0086629E">
      <w:pPr>
        <w:pBdr>
          <w:top w:val="nil"/>
          <w:left w:val="nil"/>
          <w:bottom w:val="nil"/>
          <w:right w:val="nil"/>
          <w:between w:val="nil"/>
        </w:pBdr>
        <w:shd w:val="clear" w:color="auto" w:fill="D9D9D9" w:themeFill="background1" w:themeFillShade="D9"/>
        <w:spacing w:line="240" w:lineRule="auto"/>
        <w:jc w:val="both"/>
        <w:rPr>
          <w:b/>
          <w:color w:val="244061" w:themeColor="accent1" w:themeShade="80"/>
          <w:sz w:val="28"/>
          <w:szCs w:val="28"/>
        </w:rPr>
      </w:pPr>
    </w:p>
    <w:p w14:paraId="0340F4E9" w14:textId="77777777" w:rsidR="0086629E" w:rsidRDefault="0086629E" w:rsidP="0086629E">
      <w:pPr>
        <w:pBdr>
          <w:top w:val="nil"/>
          <w:left w:val="nil"/>
          <w:bottom w:val="nil"/>
          <w:right w:val="nil"/>
          <w:between w:val="nil"/>
        </w:pBdr>
        <w:shd w:val="clear" w:color="auto" w:fill="D9D9D9" w:themeFill="background1" w:themeFillShade="D9"/>
        <w:spacing w:line="240" w:lineRule="auto"/>
        <w:jc w:val="both"/>
      </w:pPr>
      <w:r>
        <w:t>Les dispositions de type RGPD, PCI DSS, CNIL peuvent être adaptées d’un commun accord entre le donneur d’ordre et le prestataire afin de privilégier les flux opérés en télétravail</w:t>
      </w:r>
      <w:r>
        <w:t>.</w:t>
      </w:r>
    </w:p>
    <w:p w14:paraId="4B39C2C2" w14:textId="77777777" w:rsidR="0086629E" w:rsidRDefault="0086629E" w:rsidP="0086629E">
      <w:pPr>
        <w:pBdr>
          <w:top w:val="nil"/>
          <w:left w:val="nil"/>
          <w:bottom w:val="nil"/>
          <w:right w:val="nil"/>
          <w:between w:val="nil"/>
        </w:pBdr>
        <w:shd w:val="clear" w:color="auto" w:fill="D9D9D9" w:themeFill="background1" w:themeFillShade="D9"/>
        <w:spacing w:line="240" w:lineRule="auto"/>
        <w:jc w:val="both"/>
      </w:pPr>
    </w:p>
    <w:p w14:paraId="3C9ED3E9" w14:textId="1A65B768" w:rsidR="0086629E" w:rsidRDefault="0086629E" w:rsidP="0086629E">
      <w:pPr>
        <w:pBdr>
          <w:top w:val="nil"/>
          <w:left w:val="nil"/>
          <w:bottom w:val="nil"/>
          <w:right w:val="nil"/>
          <w:between w:val="nil"/>
        </w:pBdr>
        <w:shd w:val="clear" w:color="auto" w:fill="D9D9D9" w:themeFill="background1" w:themeFillShade="D9"/>
        <w:spacing w:line="240" w:lineRule="auto"/>
        <w:jc w:val="both"/>
        <w:rPr>
          <w:b/>
          <w:color w:val="244061" w:themeColor="accent1" w:themeShade="80"/>
          <w:sz w:val="28"/>
          <w:szCs w:val="28"/>
        </w:rPr>
      </w:pPr>
      <w:r>
        <w:t>Dès lors il serait inique de maintenir des dispositions contractuelles visant engager la responsabilité du prestataire même limitée en cas de déport de tout ou partie des activités en télétravail en particulier du fait de l’usage accepté de process et accès SI dégradés.</w:t>
      </w:r>
    </w:p>
    <w:p w14:paraId="57D03F74" w14:textId="77777777" w:rsidR="0086629E" w:rsidRDefault="0086629E" w:rsidP="0086629E">
      <w:pPr>
        <w:pBdr>
          <w:top w:val="nil"/>
          <w:left w:val="nil"/>
          <w:bottom w:val="nil"/>
          <w:right w:val="nil"/>
          <w:between w:val="nil"/>
        </w:pBdr>
        <w:shd w:val="clear" w:color="auto" w:fill="D9D9D9" w:themeFill="background1" w:themeFillShade="D9"/>
        <w:spacing w:line="240" w:lineRule="auto"/>
        <w:jc w:val="both"/>
        <w:rPr>
          <w:b/>
          <w:color w:val="244061" w:themeColor="accent1" w:themeShade="80"/>
          <w:sz w:val="28"/>
          <w:szCs w:val="28"/>
        </w:rPr>
      </w:pPr>
    </w:p>
    <w:p w14:paraId="42C647D0" w14:textId="6CD98B23" w:rsidR="00827AE9" w:rsidRDefault="00827AE9" w:rsidP="0086629E">
      <w:pPr>
        <w:pBdr>
          <w:top w:val="nil"/>
          <w:left w:val="nil"/>
          <w:bottom w:val="nil"/>
          <w:right w:val="nil"/>
          <w:between w:val="nil"/>
        </w:pBdr>
        <w:shd w:val="clear" w:color="auto" w:fill="D9D9D9" w:themeFill="background1" w:themeFillShade="D9"/>
        <w:tabs>
          <w:tab w:val="left" w:pos="1800"/>
        </w:tabs>
        <w:spacing w:line="240" w:lineRule="auto"/>
        <w:jc w:val="both"/>
        <w:rPr>
          <w:b/>
        </w:rPr>
      </w:pPr>
    </w:p>
    <w:p w14:paraId="4BBDC28A" w14:textId="77777777" w:rsidR="00827AE9" w:rsidRDefault="00827AE9">
      <w:pPr>
        <w:pBdr>
          <w:top w:val="nil"/>
          <w:left w:val="nil"/>
          <w:bottom w:val="nil"/>
          <w:right w:val="nil"/>
          <w:between w:val="nil"/>
        </w:pBdr>
        <w:spacing w:line="240" w:lineRule="auto"/>
        <w:jc w:val="both"/>
        <w:rPr>
          <w:b/>
        </w:rPr>
      </w:pPr>
    </w:p>
    <w:p w14:paraId="49DD0904" w14:textId="77777777" w:rsidR="00827AE9" w:rsidRDefault="00827AE9">
      <w:pPr>
        <w:pBdr>
          <w:top w:val="nil"/>
          <w:left w:val="nil"/>
          <w:bottom w:val="nil"/>
          <w:right w:val="nil"/>
          <w:between w:val="nil"/>
        </w:pBdr>
        <w:spacing w:line="240" w:lineRule="auto"/>
        <w:jc w:val="both"/>
        <w:rPr>
          <w:b/>
        </w:rPr>
      </w:pPr>
    </w:p>
    <w:p w14:paraId="3FAFB2F9" w14:textId="77777777" w:rsidR="00827AE9" w:rsidRDefault="00827AE9">
      <w:pPr>
        <w:pBdr>
          <w:top w:val="nil"/>
          <w:left w:val="nil"/>
          <w:bottom w:val="nil"/>
          <w:right w:val="nil"/>
          <w:between w:val="nil"/>
        </w:pBdr>
        <w:spacing w:line="240" w:lineRule="auto"/>
        <w:jc w:val="both"/>
        <w:rPr>
          <w:b/>
        </w:rPr>
      </w:pPr>
    </w:p>
    <w:p w14:paraId="5271D019" w14:textId="77777777" w:rsidR="00827AE9" w:rsidRDefault="00827AE9">
      <w:pPr>
        <w:pBdr>
          <w:top w:val="nil"/>
          <w:left w:val="nil"/>
          <w:bottom w:val="nil"/>
          <w:right w:val="nil"/>
          <w:between w:val="nil"/>
        </w:pBdr>
        <w:spacing w:line="240" w:lineRule="auto"/>
        <w:jc w:val="both"/>
        <w:rPr>
          <w:b/>
        </w:rPr>
      </w:pPr>
    </w:p>
    <w:p w14:paraId="36B78122" w14:textId="77777777" w:rsidR="003D3CF0" w:rsidRDefault="003D3CF0">
      <w:pPr>
        <w:pBdr>
          <w:top w:val="nil"/>
          <w:left w:val="nil"/>
          <w:bottom w:val="nil"/>
          <w:right w:val="nil"/>
          <w:between w:val="nil"/>
        </w:pBdr>
        <w:spacing w:line="240" w:lineRule="auto"/>
        <w:jc w:val="both"/>
        <w:rPr>
          <w:b/>
        </w:rPr>
      </w:pPr>
    </w:p>
    <w:p w14:paraId="38E1C6E0" w14:textId="77777777" w:rsidR="003D3CF0" w:rsidRDefault="003D3CF0">
      <w:pPr>
        <w:pBdr>
          <w:top w:val="nil"/>
          <w:left w:val="nil"/>
          <w:bottom w:val="nil"/>
          <w:right w:val="nil"/>
          <w:between w:val="nil"/>
        </w:pBdr>
        <w:spacing w:line="240" w:lineRule="auto"/>
        <w:jc w:val="both"/>
        <w:rPr>
          <w:b/>
        </w:rPr>
      </w:pPr>
    </w:p>
    <w:p w14:paraId="0AAD0B0F" w14:textId="77777777" w:rsidR="003D3CF0" w:rsidRDefault="003D3CF0">
      <w:pPr>
        <w:pBdr>
          <w:top w:val="nil"/>
          <w:left w:val="nil"/>
          <w:bottom w:val="nil"/>
          <w:right w:val="nil"/>
          <w:between w:val="nil"/>
        </w:pBdr>
        <w:spacing w:line="240" w:lineRule="auto"/>
        <w:jc w:val="both"/>
        <w:rPr>
          <w:b/>
        </w:rPr>
      </w:pPr>
    </w:p>
    <w:p w14:paraId="2B8DEE54" w14:textId="77777777" w:rsidR="003D3CF0" w:rsidRDefault="003D3CF0">
      <w:pPr>
        <w:pBdr>
          <w:top w:val="nil"/>
          <w:left w:val="nil"/>
          <w:bottom w:val="nil"/>
          <w:right w:val="nil"/>
          <w:between w:val="nil"/>
        </w:pBdr>
        <w:spacing w:line="240" w:lineRule="auto"/>
        <w:jc w:val="both"/>
        <w:rPr>
          <w:b/>
        </w:rPr>
      </w:pPr>
    </w:p>
    <w:p w14:paraId="1A320ADB" w14:textId="77777777" w:rsidR="00117CF7" w:rsidRDefault="00117CF7">
      <w:pPr>
        <w:pBdr>
          <w:top w:val="nil"/>
          <w:left w:val="nil"/>
          <w:bottom w:val="nil"/>
          <w:right w:val="nil"/>
          <w:between w:val="nil"/>
        </w:pBdr>
        <w:spacing w:line="240" w:lineRule="auto"/>
        <w:jc w:val="both"/>
      </w:pPr>
    </w:p>
    <w:p w14:paraId="34FE7612" w14:textId="77777777" w:rsidR="00117CF7" w:rsidRDefault="00117CF7">
      <w:pPr>
        <w:pBdr>
          <w:top w:val="nil"/>
          <w:left w:val="nil"/>
          <w:bottom w:val="nil"/>
          <w:right w:val="nil"/>
          <w:between w:val="nil"/>
        </w:pBdr>
        <w:spacing w:line="240" w:lineRule="auto"/>
        <w:jc w:val="both"/>
      </w:pPr>
    </w:p>
    <w:p w14:paraId="41FEB693" w14:textId="77777777" w:rsidR="00117CF7" w:rsidRDefault="00117CF7">
      <w:pPr>
        <w:pBdr>
          <w:top w:val="nil"/>
          <w:left w:val="nil"/>
          <w:bottom w:val="nil"/>
          <w:right w:val="nil"/>
          <w:between w:val="nil"/>
        </w:pBdr>
        <w:spacing w:line="240" w:lineRule="auto"/>
        <w:jc w:val="both"/>
      </w:pPr>
    </w:p>
    <w:p w14:paraId="00000092" w14:textId="24DA9B1F" w:rsidR="00773DC3" w:rsidRDefault="00827AE9">
      <w:pPr>
        <w:pBdr>
          <w:top w:val="nil"/>
          <w:left w:val="nil"/>
          <w:bottom w:val="nil"/>
          <w:right w:val="nil"/>
          <w:between w:val="nil"/>
        </w:pBdr>
        <w:spacing w:line="240" w:lineRule="auto"/>
        <w:jc w:val="both"/>
      </w:pPr>
      <w:r>
        <w:t>Fait à</w:t>
      </w:r>
      <w:r w:rsidR="00040186">
        <w:t xml:space="preserve"> Paris le </w:t>
      </w:r>
      <w:r w:rsidR="00117CF7">
        <w:t>23 mars 2020,</w:t>
      </w:r>
    </w:p>
    <w:p w14:paraId="720A44B7" w14:textId="0EFB2183" w:rsidR="0086629E" w:rsidRDefault="0086629E">
      <w:pPr>
        <w:pBdr>
          <w:top w:val="nil"/>
          <w:left w:val="nil"/>
          <w:bottom w:val="nil"/>
          <w:right w:val="nil"/>
          <w:between w:val="nil"/>
        </w:pBdr>
        <w:spacing w:line="240" w:lineRule="auto"/>
        <w:jc w:val="both"/>
      </w:pPr>
    </w:p>
    <w:p w14:paraId="21F5CB60" w14:textId="6D87F3EB" w:rsidR="0086629E" w:rsidRDefault="0086629E">
      <w:pPr>
        <w:pBdr>
          <w:top w:val="nil"/>
          <w:left w:val="nil"/>
          <w:bottom w:val="nil"/>
          <w:right w:val="nil"/>
          <w:between w:val="nil"/>
        </w:pBdr>
        <w:spacing w:line="240" w:lineRule="auto"/>
        <w:jc w:val="both"/>
      </w:pPr>
    </w:p>
    <w:p w14:paraId="13A57A9B" w14:textId="0170FC9D" w:rsidR="0086629E" w:rsidRDefault="0086629E">
      <w:pPr>
        <w:pBdr>
          <w:top w:val="nil"/>
          <w:left w:val="nil"/>
          <w:bottom w:val="nil"/>
          <w:right w:val="nil"/>
          <w:between w:val="nil"/>
        </w:pBdr>
        <w:spacing w:line="240" w:lineRule="auto"/>
        <w:jc w:val="both"/>
        <w:rPr>
          <w:b/>
          <w:color w:val="244061" w:themeColor="accent1" w:themeShade="80"/>
          <w:sz w:val="28"/>
          <w:szCs w:val="28"/>
        </w:rPr>
      </w:pPr>
      <w:r w:rsidRPr="00117CF7">
        <w:rPr>
          <w:b/>
          <w:color w:val="244061" w:themeColor="accent1" w:themeShade="80"/>
          <w:sz w:val="28"/>
          <w:szCs w:val="28"/>
        </w:rPr>
        <w:t>Les signataires :</w:t>
      </w:r>
    </w:p>
    <w:p w14:paraId="6697B307" w14:textId="77777777" w:rsidR="00117CF7" w:rsidRPr="00117CF7" w:rsidRDefault="00117CF7">
      <w:pPr>
        <w:pBdr>
          <w:top w:val="nil"/>
          <w:left w:val="nil"/>
          <w:bottom w:val="nil"/>
          <w:right w:val="nil"/>
          <w:between w:val="nil"/>
        </w:pBdr>
        <w:spacing w:line="240" w:lineRule="auto"/>
        <w:jc w:val="both"/>
        <w:rPr>
          <w:b/>
          <w:color w:val="244061" w:themeColor="accent1" w:themeShade="80"/>
          <w:sz w:val="28"/>
          <w:szCs w:val="28"/>
        </w:rPr>
      </w:pPr>
    </w:p>
    <w:p w14:paraId="73DC3634" w14:textId="77777777" w:rsidR="00BD5446" w:rsidRDefault="00BD5446">
      <w:pPr>
        <w:pBdr>
          <w:top w:val="nil"/>
          <w:left w:val="nil"/>
          <w:bottom w:val="nil"/>
          <w:right w:val="nil"/>
          <w:between w:val="nil"/>
        </w:pBdr>
        <w:spacing w:line="240" w:lineRule="auto"/>
        <w:jc w:val="both"/>
      </w:pPr>
    </w:p>
    <w:p w14:paraId="4A410E2E" w14:textId="418533B1" w:rsidR="00BD5446" w:rsidRDefault="00BD5446">
      <w:pPr>
        <w:pBdr>
          <w:top w:val="nil"/>
          <w:left w:val="nil"/>
          <w:bottom w:val="nil"/>
          <w:right w:val="nil"/>
          <w:between w:val="nil"/>
        </w:pBdr>
        <w:spacing w:line="240" w:lineRule="auto"/>
        <w:jc w:val="both"/>
      </w:pPr>
      <w:r w:rsidRPr="00BD5446">
        <w:rPr>
          <w:b/>
        </w:rPr>
        <w:t>Pour le SP2C</w:t>
      </w:r>
      <w:r w:rsidR="0086629E">
        <w:rPr>
          <w:b/>
        </w:rPr>
        <w:t xml:space="preserve">, </w:t>
      </w:r>
      <w:r>
        <w:t xml:space="preserve">Patrick </w:t>
      </w:r>
      <w:proofErr w:type="spellStart"/>
      <w:r>
        <w:t>Dubreil</w:t>
      </w:r>
      <w:proofErr w:type="spellEnd"/>
      <w:r w:rsidR="0086629E">
        <w:t xml:space="preserve">, </w:t>
      </w:r>
      <w:r>
        <w:t>Président</w:t>
      </w:r>
    </w:p>
    <w:p w14:paraId="42154197" w14:textId="64BC02E3" w:rsidR="00BD5446" w:rsidRDefault="00BD5446">
      <w:pPr>
        <w:pBdr>
          <w:top w:val="nil"/>
          <w:left w:val="nil"/>
          <w:bottom w:val="nil"/>
          <w:right w:val="nil"/>
          <w:between w:val="nil"/>
        </w:pBdr>
        <w:spacing w:line="240" w:lineRule="auto"/>
        <w:jc w:val="both"/>
      </w:pPr>
    </w:p>
    <w:p w14:paraId="1BC7A0A0" w14:textId="5469CBA7" w:rsidR="00117CF7" w:rsidRDefault="00117CF7">
      <w:pPr>
        <w:pBdr>
          <w:top w:val="nil"/>
          <w:left w:val="nil"/>
          <w:bottom w:val="nil"/>
          <w:right w:val="nil"/>
          <w:between w:val="nil"/>
        </w:pBdr>
        <w:spacing w:line="240" w:lineRule="auto"/>
        <w:jc w:val="both"/>
      </w:pPr>
    </w:p>
    <w:p w14:paraId="79B6A1FA" w14:textId="77777777" w:rsidR="00117CF7" w:rsidRDefault="00117CF7">
      <w:pPr>
        <w:pBdr>
          <w:top w:val="nil"/>
          <w:left w:val="nil"/>
          <w:bottom w:val="nil"/>
          <w:right w:val="nil"/>
          <w:between w:val="nil"/>
        </w:pBdr>
        <w:spacing w:line="240" w:lineRule="auto"/>
        <w:jc w:val="both"/>
      </w:pPr>
    </w:p>
    <w:p w14:paraId="7FAC23A6" w14:textId="240A76B4" w:rsidR="0048388C" w:rsidRDefault="00BD5446">
      <w:pPr>
        <w:pBdr>
          <w:top w:val="nil"/>
          <w:left w:val="nil"/>
          <w:bottom w:val="nil"/>
          <w:right w:val="nil"/>
          <w:between w:val="nil"/>
        </w:pBdr>
        <w:spacing w:line="240" w:lineRule="auto"/>
        <w:jc w:val="both"/>
        <w:rPr>
          <w:b/>
          <w:bCs/>
        </w:rPr>
      </w:pPr>
      <w:r w:rsidRPr="0086629E">
        <w:rPr>
          <w:b/>
          <w:bCs/>
        </w:rPr>
        <w:t>Pour l</w:t>
      </w:r>
      <w:r w:rsidR="0048388C" w:rsidRPr="0086629E">
        <w:rPr>
          <w:b/>
          <w:bCs/>
        </w:rPr>
        <w:t>es adhérents du SP2C</w:t>
      </w:r>
      <w:r w:rsidR="0086629E">
        <w:rPr>
          <w:b/>
          <w:bCs/>
        </w:rPr>
        <w:t>,</w:t>
      </w:r>
    </w:p>
    <w:p w14:paraId="0B08219D" w14:textId="77777777" w:rsidR="0086629E" w:rsidRDefault="0086629E" w:rsidP="00EB53FD">
      <w:pPr>
        <w:pBdr>
          <w:top w:val="nil"/>
          <w:left w:val="nil"/>
          <w:bottom w:val="nil"/>
          <w:right w:val="nil"/>
          <w:between w:val="nil"/>
        </w:pBdr>
        <w:spacing w:line="240" w:lineRule="auto"/>
        <w:jc w:val="both"/>
        <w:rPr>
          <w:b/>
        </w:rPr>
      </w:pPr>
    </w:p>
    <w:p w14:paraId="2CC82952" w14:textId="6E70EBA1" w:rsidR="0086629E" w:rsidRDefault="00663E66" w:rsidP="00EB53FD">
      <w:pPr>
        <w:pBdr>
          <w:top w:val="nil"/>
          <w:left w:val="nil"/>
          <w:bottom w:val="nil"/>
          <w:right w:val="nil"/>
          <w:between w:val="nil"/>
        </w:pBdr>
        <w:spacing w:line="240" w:lineRule="auto"/>
        <w:jc w:val="both"/>
      </w:pPr>
      <w:proofErr w:type="spellStart"/>
      <w:r w:rsidRPr="00221B8A">
        <w:rPr>
          <w:b/>
        </w:rPr>
        <w:t>Armatis</w:t>
      </w:r>
      <w:proofErr w:type="spellEnd"/>
      <w:r w:rsidRPr="00221B8A">
        <w:rPr>
          <w:b/>
        </w:rPr>
        <w:t xml:space="preserve"> LC</w:t>
      </w:r>
      <w:r w:rsidR="0086629E">
        <w:rPr>
          <w:b/>
        </w:rPr>
        <w:t xml:space="preserve">, </w:t>
      </w:r>
      <w:r w:rsidR="0086629E" w:rsidRPr="00221B8A">
        <w:t xml:space="preserve">Denis </w:t>
      </w:r>
      <w:proofErr w:type="spellStart"/>
      <w:r w:rsidR="0086629E" w:rsidRPr="00221B8A">
        <w:t>Akriche</w:t>
      </w:r>
      <w:proofErr w:type="spellEnd"/>
      <w:r w:rsidR="0086629E">
        <w:t>, Président</w:t>
      </w:r>
    </w:p>
    <w:p w14:paraId="7D0C6A68" w14:textId="77777777" w:rsidR="00117CF7" w:rsidRDefault="00117CF7" w:rsidP="00EB53FD">
      <w:pPr>
        <w:pBdr>
          <w:top w:val="nil"/>
          <w:left w:val="nil"/>
          <w:bottom w:val="nil"/>
          <w:right w:val="nil"/>
          <w:between w:val="nil"/>
        </w:pBdr>
        <w:spacing w:line="240" w:lineRule="auto"/>
        <w:jc w:val="both"/>
      </w:pPr>
    </w:p>
    <w:p w14:paraId="7D27B44E" w14:textId="605B1FC6" w:rsidR="00EB53FD" w:rsidRDefault="00EB53FD" w:rsidP="00EB53FD">
      <w:pPr>
        <w:pBdr>
          <w:top w:val="nil"/>
          <w:left w:val="nil"/>
          <w:bottom w:val="nil"/>
          <w:right w:val="nil"/>
          <w:between w:val="nil"/>
        </w:pBdr>
        <w:spacing w:line="240" w:lineRule="auto"/>
        <w:jc w:val="both"/>
      </w:pPr>
      <w:proofErr w:type="spellStart"/>
      <w:r w:rsidRPr="00221B8A">
        <w:rPr>
          <w:b/>
        </w:rPr>
        <w:t>Bluelink</w:t>
      </w:r>
      <w:proofErr w:type="spellEnd"/>
      <w:r w:rsidRPr="00221B8A">
        <w:rPr>
          <w:b/>
        </w:rPr>
        <w:t xml:space="preserve"> services</w:t>
      </w:r>
      <w:r w:rsidR="0086629E">
        <w:rPr>
          <w:b/>
        </w:rPr>
        <w:t xml:space="preserve">, </w:t>
      </w:r>
      <w:r w:rsidR="00FE103B">
        <w:t xml:space="preserve">Frank </w:t>
      </w:r>
      <w:proofErr w:type="spellStart"/>
      <w:r w:rsidR="00FE103B">
        <w:t>Legré</w:t>
      </w:r>
      <w:proofErr w:type="spellEnd"/>
      <w:r w:rsidR="0086629E">
        <w:t xml:space="preserve">, </w:t>
      </w:r>
      <w:r>
        <w:t>Directeur Général</w:t>
      </w:r>
    </w:p>
    <w:p w14:paraId="22DEE2D9" w14:textId="77777777" w:rsidR="00117CF7" w:rsidRDefault="00117CF7" w:rsidP="00EB53FD">
      <w:pPr>
        <w:pBdr>
          <w:top w:val="nil"/>
          <w:left w:val="nil"/>
          <w:bottom w:val="nil"/>
          <w:right w:val="nil"/>
          <w:between w:val="nil"/>
        </w:pBdr>
        <w:spacing w:line="240" w:lineRule="auto"/>
        <w:jc w:val="both"/>
      </w:pPr>
    </w:p>
    <w:p w14:paraId="62C74976" w14:textId="5BB1523B" w:rsidR="0086629E" w:rsidRDefault="00663E66">
      <w:pPr>
        <w:pBdr>
          <w:top w:val="nil"/>
          <w:left w:val="nil"/>
          <w:bottom w:val="nil"/>
          <w:right w:val="nil"/>
          <w:between w:val="nil"/>
        </w:pBdr>
        <w:spacing w:line="240" w:lineRule="auto"/>
        <w:jc w:val="both"/>
      </w:pPr>
      <w:proofErr w:type="spellStart"/>
      <w:r w:rsidRPr="00221B8A">
        <w:rPr>
          <w:b/>
        </w:rPr>
        <w:t>Comdata</w:t>
      </w:r>
      <w:proofErr w:type="spellEnd"/>
      <w:r w:rsidR="0086629E">
        <w:rPr>
          <w:b/>
        </w:rPr>
        <w:t xml:space="preserve"> France, </w:t>
      </w:r>
      <w:r w:rsidR="0086629E" w:rsidRPr="00221B8A">
        <w:t>Maxime Didier</w:t>
      </w:r>
      <w:r w:rsidR="0086629E">
        <w:t xml:space="preserve">, </w:t>
      </w:r>
      <w:r w:rsidR="0086629E">
        <w:t>Président</w:t>
      </w:r>
    </w:p>
    <w:p w14:paraId="3CAC9280" w14:textId="77777777" w:rsidR="00117CF7" w:rsidRDefault="00117CF7">
      <w:pPr>
        <w:pBdr>
          <w:top w:val="nil"/>
          <w:left w:val="nil"/>
          <w:bottom w:val="nil"/>
          <w:right w:val="nil"/>
          <w:between w:val="nil"/>
        </w:pBdr>
        <w:spacing w:line="240" w:lineRule="auto"/>
        <w:jc w:val="both"/>
      </w:pPr>
    </w:p>
    <w:p w14:paraId="7C39B90D" w14:textId="437D1603" w:rsidR="0086629E" w:rsidRDefault="0086629E">
      <w:pPr>
        <w:pBdr>
          <w:top w:val="nil"/>
          <w:left w:val="nil"/>
          <w:bottom w:val="nil"/>
          <w:right w:val="nil"/>
          <w:between w:val="nil"/>
        </w:pBdr>
        <w:spacing w:line="240" w:lineRule="auto"/>
        <w:jc w:val="both"/>
      </w:pPr>
      <w:proofErr w:type="spellStart"/>
      <w:r w:rsidRPr="002C110E">
        <w:rPr>
          <w:b/>
          <w:bCs/>
        </w:rPr>
        <w:t>Conduent</w:t>
      </w:r>
      <w:proofErr w:type="spellEnd"/>
      <w:r w:rsidRPr="002C110E">
        <w:rPr>
          <w:b/>
          <w:bCs/>
        </w:rPr>
        <w:t>,</w:t>
      </w:r>
      <w:r>
        <w:t xml:space="preserve"> Jean-Christophe </w:t>
      </w:r>
      <w:proofErr w:type="spellStart"/>
      <w:r>
        <w:t>Périvier</w:t>
      </w:r>
      <w:proofErr w:type="spellEnd"/>
      <w:r>
        <w:t>, Directeur Général</w:t>
      </w:r>
    </w:p>
    <w:p w14:paraId="30C23EF1" w14:textId="77777777" w:rsidR="00117CF7" w:rsidRDefault="00117CF7">
      <w:pPr>
        <w:pBdr>
          <w:top w:val="nil"/>
          <w:left w:val="nil"/>
          <w:bottom w:val="nil"/>
          <w:right w:val="nil"/>
          <w:between w:val="nil"/>
        </w:pBdr>
        <w:spacing w:line="240" w:lineRule="auto"/>
        <w:jc w:val="both"/>
      </w:pPr>
    </w:p>
    <w:p w14:paraId="5C631FBD" w14:textId="26F572D4" w:rsidR="0012152D" w:rsidRDefault="0012152D" w:rsidP="0012152D">
      <w:pPr>
        <w:pBdr>
          <w:top w:val="nil"/>
          <w:left w:val="nil"/>
          <w:bottom w:val="nil"/>
          <w:right w:val="nil"/>
          <w:between w:val="nil"/>
        </w:pBdr>
        <w:spacing w:line="240" w:lineRule="auto"/>
        <w:jc w:val="both"/>
      </w:pPr>
      <w:r w:rsidRPr="00221B8A">
        <w:rPr>
          <w:b/>
        </w:rPr>
        <w:t>Coriolis Services</w:t>
      </w:r>
      <w:r w:rsidR="0086629E">
        <w:rPr>
          <w:b/>
        </w:rPr>
        <w:t xml:space="preserve">, </w:t>
      </w:r>
      <w:r w:rsidRPr="00221B8A">
        <w:t>Olivier Hérault</w:t>
      </w:r>
      <w:r w:rsidR="0086629E">
        <w:t xml:space="preserve">, </w:t>
      </w:r>
      <w:r>
        <w:t>Directeur Général</w:t>
      </w:r>
    </w:p>
    <w:p w14:paraId="3142E93C" w14:textId="77777777" w:rsidR="00117CF7" w:rsidRDefault="00117CF7" w:rsidP="0012152D">
      <w:pPr>
        <w:pBdr>
          <w:top w:val="nil"/>
          <w:left w:val="nil"/>
          <w:bottom w:val="nil"/>
          <w:right w:val="nil"/>
          <w:between w:val="nil"/>
        </w:pBdr>
        <w:spacing w:line="240" w:lineRule="auto"/>
        <w:jc w:val="both"/>
      </w:pPr>
    </w:p>
    <w:p w14:paraId="23C0AEB9" w14:textId="6EFA81CE" w:rsidR="002C110E" w:rsidRDefault="00663E66">
      <w:pPr>
        <w:pBdr>
          <w:top w:val="nil"/>
          <w:left w:val="nil"/>
          <w:bottom w:val="nil"/>
          <w:right w:val="nil"/>
          <w:between w:val="nil"/>
        </w:pBdr>
        <w:spacing w:line="240" w:lineRule="auto"/>
        <w:jc w:val="both"/>
      </w:pPr>
      <w:proofErr w:type="spellStart"/>
      <w:r w:rsidRPr="00221B8A">
        <w:rPr>
          <w:b/>
        </w:rPr>
        <w:t>Majorel</w:t>
      </w:r>
      <w:proofErr w:type="spellEnd"/>
      <w:r w:rsidR="002C110E">
        <w:rPr>
          <w:b/>
        </w:rPr>
        <w:t xml:space="preserve">, </w:t>
      </w:r>
      <w:r w:rsidR="002C110E" w:rsidRPr="00221B8A">
        <w:t xml:space="preserve">Dominique </w:t>
      </w:r>
      <w:proofErr w:type="spellStart"/>
      <w:r w:rsidR="002C110E" w:rsidRPr="00221B8A">
        <w:t>Deacaest</w:t>
      </w:r>
      <w:r w:rsidR="002C110E">
        <w:t>e</w:t>
      </w:r>
      <w:r w:rsidR="002C110E" w:rsidRPr="00221B8A">
        <w:t>cker</w:t>
      </w:r>
      <w:proofErr w:type="spellEnd"/>
      <w:r w:rsidR="002C110E">
        <w:t>, Directeur des Opérations Monde</w:t>
      </w:r>
    </w:p>
    <w:p w14:paraId="1B52A1F7" w14:textId="77777777" w:rsidR="00117CF7" w:rsidRDefault="00117CF7">
      <w:pPr>
        <w:pBdr>
          <w:top w:val="nil"/>
          <w:left w:val="nil"/>
          <w:bottom w:val="nil"/>
          <w:right w:val="nil"/>
          <w:between w:val="nil"/>
        </w:pBdr>
        <w:spacing w:line="240" w:lineRule="auto"/>
        <w:jc w:val="both"/>
      </w:pPr>
    </w:p>
    <w:p w14:paraId="4B6C3982" w14:textId="4C1C4A62" w:rsidR="0012152D" w:rsidRDefault="0012152D" w:rsidP="0012152D">
      <w:pPr>
        <w:pBdr>
          <w:top w:val="nil"/>
          <w:left w:val="nil"/>
          <w:bottom w:val="nil"/>
          <w:right w:val="nil"/>
          <w:between w:val="nil"/>
        </w:pBdr>
        <w:spacing w:line="240" w:lineRule="auto"/>
        <w:jc w:val="both"/>
      </w:pPr>
      <w:proofErr w:type="spellStart"/>
      <w:r w:rsidRPr="00221B8A">
        <w:rPr>
          <w:b/>
        </w:rPr>
        <w:t>Sitel</w:t>
      </w:r>
      <w:proofErr w:type="spellEnd"/>
      <w:r w:rsidR="002C110E">
        <w:rPr>
          <w:b/>
        </w:rPr>
        <w:t xml:space="preserve"> France, </w:t>
      </w:r>
      <w:r w:rsidR="00FE103B">
        <w:t xml:space="preserve">Cholé </w:t>
      </w:r>
      <w:proofErr w:type="spellStart"/>
      <w:r w:rsidR="00FE103B">
        <w:t>Beauvallet</w:t>
      </w:r>
      <w:proofErr w:type="spellEnd"/>
      <w:r w:rsidR="002C110E">
        <w:t xml:space="preserve">, </w:t>
      </w:r>
      <w:r>
        <w:t>Directrice Générale</w:t>
      </w:r>
    </w:p>
    <w:p w14:paraId="745E80A4" w14:textId="77777777" w:rsidR="00117CF7" w:rsidRDefault="00117CF7" w:rsidP="0012152D">
      <w:pPr>
        <w:pBdr>
          <w:top w:val="nil"/>
          <w:left w:val="nil"/>
          <w:bottom w:val="nil"/>
          <w:right w:val="nil"/>
          <w:between w:val="nil"/>
        </w:pBdr>
        <w:spacing w:line="240" w:lineRule="auto"/>
        <w:jc w:val="both"/>
      </w:pPr>
    </w:p>
    <w:p w14:paraId="0BA278AB" w14:textId="687A1B1F" w:rsidR="009C3166" w:rsidRDefault="00663E66">
      <w:pPr>
        <w:pBdr>
          <w:top w:val="nil"/>
          <w:left w:val="nil"/>
          <w:bottom w:val="nil"/>
          <w:right w:val="nil"/>
          <w:between w:val="nil"/>
        </w:pBdr>
        <w:spacing w:line="240" w:lineRule="auto"/>
        <w:jc w:val="both"/>
      </w:pPr>
      <w:proofErr w:type="spellStart"/>
      <w:r w:rsidRPr="00221B8A">
        <w:rPr>
          <w:b/>
        </w:rPr>
        <w:t>Teleperformance</w:t>
      </w:r>
      <w:proofErr w:type="spellEnd"/>
      <w:r w:rsidR="002C110E">
        <w:rPr>
          <w:b/>
        </w:rPr>
        <w:t xml:space="preserve">, </w:t>
      </w:r>
      <w:r w:rsidR="002C110E">
        <w:t>Frédéric Proville</w:t>
      </w:r>
      <w:r w:rsidR="002C110E">
        <w:t xml:space="preserve">, </w:t>
      </w:r>
      <w:r w:rsidR="009C3166">
        <w:t>Directeur Général France</w:t>
      </w:r>
    </w:p>
    <w:p w14:paraId="2F6F64BB" w14:textId="77777777" w:rsidR="00117CF7" w:rsidRDefault="00117CF7">
      <w:pPr>
        <w:pBdr>
          <w:top w:val="nil"/>
          <w:left w:val="nil"/>
          <w:bottom w:val="nil"/>
          <w:right w:val="nil"/>
          <w:between w:val="nil"/>
        </w:pBdr>
        <w:spacing w:line="240" w:lineRule="auto"/>
        <w:jc w:val="both"/>
      </w:pPr>
    </w:p>
    <w:p w14:paraId="49A86140" w14:textId="116A3A47" w:rsidR="0012152D" w:rsidRPr="00221B8A" w:rsidRDefault="0012152D" w:rsidP="0012152D">
      <w:pPr>
        <w:pBdr>
          <w:top w:val="nil"/>
          <w:left w:val="nil"/>
          <w:bottom w:val="nil"/>
          <w:right w:val="nil"/>
          <w:between w:val="nil"/>
        </w:pBdr>
        <w:spacing w:line="240" w:lineRule="auto"/>
        <w:jc w:val="both"/>
      </w:pPr>
      <w:proofErr w:type="spellStart"/>
      <w:r w:rsidRPr="00221B8A">
        <w:rPr>
          <w:b/>
        </w:rPr>
        <w:t>Webhelp</w:t>
      </w:r>
      <w:proofErr w:type="spellEnd"/>
      <w:r w:rsidR="009C3166">
        <w:rPr>
          <w:b/>
        </w:rPr>
        <w:t xml:space="preserve">, </w:t>
      </w:r>
      <w:r w:rsidRPr="00221B8A">
        <w:t>Vincent Bernard</w:t>
      </w:r>
      <w:r w:rsidR="009C3166">
        <w:t>, Président – Directeur Général</w:t>
      </w:r>
      <w:r w:rsidR="00BD5446">
        <w:t xml:space="preserve"> </w:t>
      </w:r>
      <w:r>
        <w:t>Franc</w:t>
      </w:r>
      <w:r w:rsidR="009C3166">
        <w:t>e</w:t>
      </w:r>
    </w:p>
    <w:p w14:paraId="3A0CF0D6" w14:textId="239FEF34" w:rsidR="00221B8A" w:rsidRPr="00221B8A" w:rsidRDefault="00221B8A">
      <w:pPr>
        <w:pBdr>
          <w:top w:val="nil"/>
          <w:left w:val="nil"/>
          <w:bottom w:val="nil"/>
          <w:right w:val="nil"/>
          <w:between w:val="nil"/>
        </w:pBdr>
        <w:spacing w:line="240" w:lineRule="auto"/>
        <w:jc w:val="both"/>
      </w:pPr>
    </w:p>
    <w:p w14:paraId="1B4A3C50" w14:textId="77777777" w:rsidR="00221B8A" w:rsidRPr="00221B8A" w:rsidRDefault="00221B8A">
      <w:pPr>
        <w:pBdr>
          <w:top w:val="nil"/>
          <w:left w:val="nil"/>
          <w:bottom w:val="nil"/>
          <w:right w:val="nil"/>
          <w:between w:val="nil"/>
        </w:pBdr>
        <w:spacing w:line="240" w:lineRule="auto"/>
        <w:jc w:val="both"/>
        <w:rPr>
          <w:b/>
        </w:rPr>
      </w:pPr>
    </w:p>
    <w:p w14:paraId="542205C1" w14:textId="77777777" w:rsidR="00663E66" w:rsidRPr="00221B8A" w:rsidRDefault="00663E66">
      <w:pPr>
        <w:pBdr>
          <w:top w:val="nil"/>
          <w:left w:val="nil"/>
          <w:bottom w:val="nil"/>
          <w:right w:val="nil"/>
          <w:between w:val="nil"/>
        </w:pBdr>
        <w:spacing w:line="240" w:lineRule="auto"/>
        <w:jc w:val="both"/>
        <w:rPr>
          <w:b/>
        </w:rPr>
      </w:pPr>
    </w:p>
    <w:p w14:paraId="384391EF" w14:textId="77777777" w:rsidR="00663E66" w:rsidRDefault="00663E66">
      <w:pPr>
        <w:pBdr>
          <w:top w:val="nil"/>
          <w:left w:val="nil"/>
          <w:bottom w:val="nil"/>
          <w:right w:val="nil"/>
          <w:between w:val="nil"/>
        </w:pBdr>
        <w:spacing w:line="240" w:lineRule="auto"/>
        <w:jc w:val="both"/>
      </w:pPr>
    </w:p>
    <w:sectPr w:rsidR="00663E66">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24F0E" w14:textId="77777777" w:rsidR="006F4FFA" w:rsidRDefault="006F4FFA">
      <w:pPr>
        <w:spacing w:line="240" w:lineRule="auto"/>
      </w:pPr>
      <w:r>
        <w:separator/>
      </w:r>
    </w:p>
  </w:endnote>
  <w:endnote w:type="continuationSeparator" w:id="0">
    <w:p w14:paraId="7041619C" w14:textId="77777777" w:rsidR="006F4FFA" w:rsidRDefault="006F4F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0" w14:textId="06FAE5F4" w:rsidR="00F42804" w:rsidRDefault="00F42804" w:rsidP="00EB53FD">
    <w:pPr>
      <w:pBdr>
        <w:top w:val="nil"/>
        <w:left w:val="nil"/>
        <w:bottom w:val="nil"/>
        <w:right w:val="nil"/>
        <w:between w:val="nil"/>
      </w:pBdr>
      <w:rPr>
        <w:sz w:val="18"/>
        <w:szCs w:val="18"/>
      </w:rPr>
    </w:pPr>
    <w:r>
      <w:rPr>
        <w:sz w:val="18"/>
        <w:szCs w:val="18"/>
      </w:rPr>
      <w:t xml:space="preserve"> Recommandations et bonnes pratiques pour une relation client externalisée durable et responsable, SP2C </w:t>
    </w:r>
    <w:r w:rsidR="00D048E0">
      <w:rPr>
        <w:sz w:val="18"/>
        <w:szCs w:val="18"/>
      </w:rPr>
      <w:t>03/2020</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fldChar w:fldCharType="begin"/>
    </w:r>
    <w:r>
      <w:rPr>
        <w:sz w:val="18"/>
        <w:szCs w:val="18"/>
      </w:rPr>
      <w:instrText>PAGE</w:instrText>
    </w:r>
    <w:r>
      <w:rPr>
        <w:sz w:val="18"/>
        <w:szCs w:val="18"/>
      </w:rPr>
      <w:fldChar w:fldCharType="separate"/>
    </w:r>
    <w:r w:rsidR="00171E07">
      <w:rPr>
        <w:noProof/>
        <w:sz w:val="18"/>
        <w:szCs w:val="18"/>
      </w:rPr>
      <w:t>11</w:t>
    </w:r>
    <w:r>
      <w:rPr>
        <w:sz w:val="18"/>
        <w:szCs w:val="18"/>
      </w:rPr>
      <w:fldChar w:fldCharType="end"/>
    </w:r>
    <w:r>
      <w:rPr>
        <w:sz w:val="18"/>
        <w:szCs w:val="18"/>
      </w:rPr>
      <w:t>/</w:t>
    </w:r>
    <w:r>
      <w:rPr>
        <w:sz w:val="18"/>
        <w:szCs w:val="18"/>
      </w:rPr>
      <w:fldChar w:fldCharType="begin"/>
    </w:r>
    <w:r>
      <w:rPr>
        <w:sz w:val="18"/>
        <w:szCs w:val="18"/>
      </w:rPr>
      <w:instrText>NUMPAGES</w:instrText>
    </w:r>
    <w:r>
      <w:rPr>
        <w:sz w:val="18"/>
        <w:szCs w:val="18"/>
      </w:rPr>
      <w:fldChar w:fldCharType="separate"/>
    </w:r>
    <w:r w:rsidR="00171E07">
      <w:rPr>
        <w:noProof/>
        <w:sz w:val="18"/>
        <w:szCs w:val="18"/>
      </w:rPr>
      <w:t>12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F3ABB" w14:textId="77777777" w:rsidR="006F4FFA" w:rsidRDefault="006F4FFA">
      <w:pPr>
        <w:spacing w:line="240" w:lineRule="auto"/>
      </w:pPr>
      <w:r>
        <w:separator/>
      </w:r>
    </w:p>
  </w:footnote>
  <w:footnote w:type="continuationSeparator" w:id="0">
    <w:p w14:paraId="1C556930" w14:textId="77777777" w:rsidR="006F4FFA" w:rsidRDefault="006F4F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14A02" w14:textId="77777777" w:rsidR="00F42804" w:rsidRDefault="00F42804">
    <w:pPr>
      <w:pStyle w:val="En-tte"/>
    </w:pPr>
  </w:p>
  <w:p w14:paraId="3F131CC1" w14:textId="0F9E59A2" w:rsidR="00F42804" w:rsidRDefault="00F42804">
    <w:pPr>
      <w:pStyle w:val="En-tte"/>
    </w:pPr>
    <w:r>
      <w:rPr>
        <w:noProof/>
        <w:lang w:val="fr-FR"/>
      </w:rPr>
      <w:drawing>
        <wp:inline distT="0" distB="0" distL="0" distR="0" wp14:anchorId="6DA5265B" wp14:editId="1623ECA0">
          <wp:extent cx="2887980" cy="103632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7980" cy="1036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14342"/>
    <w:multiLevelType w:val="hybridMultilevel"/>
    <w:tmpl w:val="272631E6"/>
    <w:lvl w:ilvl="0" w:tplc="7694AE02">
      <w:start w:val="6"/>
      <w:numFmt w:val="bullet"/>
      <w:lvlText w:val="-"/>
      <w:lvlJc w:val="left"/>
      <w:pPr>
        <w:ind w:left="900" w:hanging="360"/>
      </w:pPr>
      <w:rPr>
        <w:rFonts w:ascii="Arial" w:eastAsia="Arial" w:hAnsi="Arial" w:cs="Aria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 w15:restartNumberingAfterBreak="0">
    <w:nsid w:val="143430E5"/>
    <w:multiLevelType w:val="hybridMultilevel"/>
    <w:tmpl w:val="D7A2E086"/>
    <w:lvl w:ilvl="0" w:tplc="394C93E2">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6C52A5"/>
    <w:multiLevelType w:val="multilevel"/>
    <w:tmpl w:val="B64A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7D40A8"/>
    <w:multiLevelType w:val="multilevel"/>
    <w:tmpl w:val="42A0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B0557A"/>
    <w:multiLevelType w:val="hybridMultilevel"/>
    <w:tmpl w:val="4B267A4A"/>
    <w:lvl w:ilvl="0" w:tplc="D2905E62">
      <w:start w:val="6"/>
      <w:numFmt w:val="bullet"/>
      <w:lvlText w:val="-"/>
      <w:lvlJc w:val="left"/>
      <w:pPr>
        <w:ind w:left="900" w:hanging="360"/>
      </w:pPr>
      <w:rPr>
        <w:rFonts w:ascii="Arial" w:eastAsia="Arial" w:hAnsi="Arial" w:cs="Aria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5" w15:restartNumberingAfterBreak="0">
    <w:nsid w:val="3D356661"/>
    <w:multiLevelType w:val="hybridMultilevel"/>
    <w:tmpl w:val="E7262316"/>
    <w:lvl w:ilvl="0" w:tplc="1D46749C">
      <w:numFmt w:val="bullet"/>
      <w:lvlText w:val="-"/>
      <w:lvlJc w:val="left"/>
      <w:pPr>
        <w:ind w:left="900" w:hanging="360"/>
      </w:pPr>
      <w:rPr>
        <w:rFonts w:ascii="Arial" w:eastAsia="Arial" w:hAnsi="Arial" w:cs="Aria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6" w15:restartNumberingAfterBreak="0">
    <w:nsid w:val="410114EC"/>
    <w:multiLevelType w:val="hybridMultilevel"/>
    <w:tmpl w:val="19AE6996"/>
    <w:lvl w:ilvl="0" w:tplc="A4AE147C">
      <w:numFmt w:val="bullet"/>
      <w:lvlText w:val="-"/>
      <w:lvlJc w:val="left"/>
      <w:pPr>
        <w:ind w:left="900" w:hanging="360"/>
      </w:pPr>
      <w:rPr>
        <w:rFonts w:ascii="Arial" w:eastAsia="Arial" w:hAnsi="Arial" w:cs="Aria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7" w15:restartNumberingAfterBreak="0">
    <w:nsid w:val="4FC75CE1"/>
    <w:multiLevelType w:val="multilevel"/>
    <w:tmpl w:val="CBE6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497689"/>
    <w:multiLevelType w:val="hybridMultilevel"/>
    <w:tmpl w:val="B4A499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2E60A0E"/>
    <w:multiLevelType w:val="hybridMultilevel"/>
    <w:tmpl w:val="268E72A4"/>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CF4607E"/>
    <w:multiLevelType w:val="hybridMultilevel"/>
    <w:tmpl w:val="C33ED6FE"/>
    <w:lvl w:ilvl="0" w:tplc="79425232">
      <w:start w:val="1"/>
      <w:numFmt w:val="lowerRoman"/>
      <w:lvlText w:val="%1)"/>
      <w:lvlJc w:val="left"/>
      <w:pPr>
        <w:ind w:left="1260" w:hanging="72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num w:numId="1">
    <w:abstractNumId w:val="5"/>
  </w:num>
  <w:num w:numId="2">
    <w:abstractNumId w:val="7"/>
  </w:num>
  <w:num w:numId="3">
    <w:abstractNumId w:val="3"/>
  </w:num>
  <w:num w:numId="4">
    <w:abstractNumId w:val="2"/>
  </w:num>
  <w:num w:numId="5">
    <w:abstractNumId w:val="6"/>
  </w:num>
  <w:num w:numId="6">
    <w:abstractNumId w:val="8"/>
  </w:num>
  <w:num w:numId="7">
    <w:abstractNumId w:val="0"/>
  </w:num>
  <w:num w:numId="8">
    <w:abstractNumId w:val="4"/>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DC3"/>
    <w:rsid w:val="00022055"/>
    <w:rsid w:val="00040186"/>
    <w:rsid w:val="000A5C04"/>
    <w:rsid w:val="000B3624"/>
    <w:rsid w:val="000D5A05"/>
    <w:rsid w:val="000F6348"/>
    <w:rsid w:val="00117CF7"/>
    <w:rsid w:val="0012152D"/>
    <w:rsid w:val="001233A1"/>
    <w:rsid w:val="00171E07"/>
    <w:rsid w:val="001F63BE"/>
    <w:rsid w:val="002204F4"/>
    <w:rsid w:val="00221B8A"/>
    <w:rsid w:val="0023008B"/>
    <w:rsid w:val="00255CB1"/>
    <w:rsid w:val="00266923"/>
    <w:rsid w:val="002825A2"/>
    <w:rsid w:val="002C110E"/>
    <w:rsid w:val="002D78C3"/>
    <w:rsid w:val="00305477"/>
    <w:rsid w:val="00331E7C"/>
    <w:rsid w:val="00344C57"/>
    <w:rsid w:val="003952FB"/>
    <w:rsid w:val="003A5B68"/>
    <w:rsid w:val="003B1B79"/>
    <w:rsid w:val="003D3CF0"/>
    <w:rsid w:val="003D68FA"/>
    <w:rsid w:val="003D7B74"/>
    <w:rsid w:val="003E2D05"/>
    <w:rsid w:val="00413317"/>
    <w:rsid w:val="00430FED"/>
    <w:rsid w:val="00460A9A"/>
    <w:rsid w:val="00465BD6"/>
    <w:rsid w:val="0048388C"/>
    <w:rsid w:val="004925F9"/>
    <w:rsid w:val="00492F2B"/>
    <w:rsid w:val="004B5809"/>
    <w:rsid w:val="004D544A"/>
    <w:rsid w:val="004F0895"/>
    <w:rsid w:val="005443B8"/>
    <w:rsid w:val="0057264D"/>
    <w:rsid w:val="005864E0"/>
    <w:rsid w:val="005A0864"/>
    <w:rsid w:val="005A5537"/>
    <w:rsid w:val="0060372B"/>
    <w:rsid w:val="00624037"/>
    <w:rsid w:val="00663E66"/>
    <w:rsid w:val="00691AAD"/>
    <w:rsid w:val="00695FD2"/>
    <w:rsid w:val="006A21C9"/>
    <w:rsid w:val="006A2D8A"/>
    <w:rsid w:val="006D6559"/>
    <w:rsid w:val="006F4FFA"/>
    <w:rsid w:val="007053CC"/>
    <w:rsid w:val="00705F16"/>
    <w:rsid w:val="00773DC3"/>
    <w:rsid w:val="007C2C67"/>
    <w:rsid w:val="00801B44"/>
    <w:rsid w:val="0081307B"/>
    <w:rsid w:val="00827AE9"/>
    <w:rsid w:val="0086629E"/>
    <w:rsid w:val="008E0FEA"/>
    <w:rsid w:val="009170CE"/>
    <w:rsid w:val="00967F61"/>
    <w:rsid w:val="009B2492"/>
    <w:rsid w:val="009C3166"/>
    <w:rsid w:val="009E1700"/>
    <w:rsid w:val="009E5661"/>
    <w:rsid w:val="00A1439E"/>
    <w:rsid w:val="00A27192"/>
    <w:rsid w:val="00A766CD"/>
    <w:rsid w:val="00A96409"/>
    <w:rsid w:val="00AE0633"/>
    <w:rsid w:val="00AF1507"/>
    <w:rsid w:val="00B16B9F"/>
    <w:rsid w:val="00B60B93"/>
    <w:rsid w:val="00B70AC8"/>
    <w:rsid w:val="00B745AA"/>
    <w:rsid w:val="00B85BBA"/>
    <w:rsid w:val="00B92D92"/>
    <w:rsid w:val="00BA3708"/>
    <w:rsid w:val="00BB6786"/>
    <w:rsid w:val="00BD5446"/>
    <w:rsid w:val="00C15415"/>
    <w:rsid w:val="00C66788"/>
    <w:rsid w:val="00C95BFB"/>
    <w:rsid w:val="00CB34D5"/>
    <w:rsid w:val="00CC0B7B"/>
    <w:rsid w:val="00CC0EC1"/>
    <w:rsid w:val="00D048E0"/>
    <w:rsid w:val="00D25341"/>
    <w:rsid w:val="00D72AE3"/>
    <w:rsid w:val="00D76136"/>
    <w:rsid w:val="00DA5513"/>
    <w:rsid w:val="00DC77C3"/>
    <w:rsid w:val="00DE731B"/>
    <w:rsid w:val="00E16F38"/>
    <w:rsid w:val="00E17457"/>
    <w:rsid w:val="00E9357D"/>
    <w:rsid w:val="00EB53FD"/>
    <w:rsid w:val="00ED3E5E"/>
    <w:rsid w:val="00F42804"/>
    <w:rsid w:val="00F57BA5"/>
    <w:rsid w:val="00F96CE0"/>
    <w:rsid w:val="00FC7D4D"/>
    <w:rsid w:val="00FE10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ED47"/>
  <w15:docId w15:val="{F68EACE3-8DE2-4918-8A9C-D35C6D0D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Titre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Titre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Titre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Titre5">
    <w:name w:val="heading 5"/>
    <w:basedOn w:val="Normal"/>
    <w:next w:val="Normal"/>
    <w:pPr>
      <w:keepNext/>
      <w:keepLines/>
      <w:spacing w:before="160"/>
      <w:outlineLvl w:val="4"/>
    </w:pPr>
    <w:rPr>
      <w:rFonts w:ascii="Trebuchet MS" w:eastAsia="Trebuchet MS" w:hAnsi="Trebuchet MS" w:cs="Trebuchet MS"/>
      <w:color w:val="666666"/>
    </w:rPr>
  </w:style>
  <w:style w:type="paragraph" w:styleId="Titre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pPr>
    <w:rPr>
      <w:rFonts w:ascii="Trebuchet MS" w:eastAsia="Trebuchet MS" w:hAnsi="Trebuchet MS" w:cs="Trebuchet MS"/>
      <w:sz w:val="42"/>
      <w:szCs w:val="42"/>
    </w:rPr>
  </w:style>
  <w:style w:type="paragraph" w:styleId="Sous-titr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Paragraphedeliste">
    <w:name w:val="List Paragraph"/>
    <w:basedOn w:val="Normal"/>
    <w:uiPriority w:val="34"/>
    <w:qFormat/>
    <w:rsid w:val="009B2492"/>
    <w:pPr>
      <w:ind w:left="720"/>
      <w:contextualSpacing/>
    </w:pPr>
  </w:style>
  <w:style w:type="paragraph" w:customStyle="1" w:styleId="m-1528760322066100956msolistparagraph">
    <w:name w:val="m_-1528760322066100956msolistparagraph"/>
    <w:basedOn w:val="Normal"/>
    <w:rsid w:val="00663E66"/>
    <w:pPr>
      <w:spacing w:before="100" w:beforeAutospacing="1" w:after="100" w:afterAutospacing="1" w:line="240" w:lineRule="auto"/>
    </w:pPr>
    <w:rPr>
      <w:rFonts w:ascii="Times New Roman" w:eastAsia="Times New Roman" w:hAnsi="Times New Roman" w:cs="Times New Roman"/>
      <w:sz w:val="24"/>
      <w:szCs w:val="24"/>
      <w:lang w:val="fr-FR"/>
    </w:rPr>
  </w:style>
  <w:style w:type="paragraph" w:styleId="Textedebulles">
    <w:name w:val="Balloon Text"/>
    <w:basedOn w:val="Normal"/>
    <w:link w:val="TextedebullesCar"/>
    <w:uiPriority w:val="99"/>
    <w:semiHidden/>
    <w:unhideWhenUsed/>
    <w:rsid w:val="003D3CF0"/>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3CF0"/>
    <w:rPr>
      <w:rFonts w:ascii="Segoe UI" w:hAnsi="Segoe UI" w:cs="Segoe UI"/>
      <w:sz w:val="18"/>
      <w:szCs w:val="18"/>
    </w:rPr>
  </w:style>
  <w:style w:type="paragraph" w:styleId="En-tte">
    <w:name w:val="header"/>
    <w:basedOn w:val="Normal"/>
    <w:link w:val="En-tteCar"/>
    <w:uiPriority w:val="99"/>
    <w:unhideWhenUsed/>
    <w:rsid w:val="004925F9"/>
    <w:pPr>
      <w:tabs>
        <w:tab w:val="center" w:pos="4536"/>
        <w:tab w:val="right" w:pos="9072"/>
      </w:tabs>
      <w:spacing w:line="240" w:lineRule="auto"/>
    </w:pPr>
  </w:style>
  <w:style w:type="character" w:customStyle="1" w:styleId="En-tteCar">
    <w:name w:val="En-tête Car"/>
    <w:basedOn w:val="Policepardfaut"/>
    <w:link w:val="En-tte"/>
    <w:uiPriority w:val="99"/>
    <w:rsid w:val="004925F9"/>
  </w:style>
  <w:style w:type="paragraph" w:styleId="Pieddepage">
    <w:name w:val="footer"/>
    <w:basedOn w:val="Normal"/>
    <w:link w:val="PieddepageCar"/>
    <w:uiPriority w:val="99"/>
    <w:unhideWhenUsed/>
    <w:rsid w:val="004925F9"/>
    <w:pPr>
      <w:tabs>
        <w:tab w:val="center" w:pos="4536"/>
        <w:tab w:val="right" w:pos="9072"/>
      </w:tabs>
      <w:spacing w:line="240" w:lineRule="auto"/>
    </w:pPr>
  </w:style>
  <w:style w:type="character" w:customStyle="1" w:styleId="PieddepageCar">
    <w:name w:val="Pied de page Car"/>
    <w:basedOn w:val="Policepardfaut"/>
    <w:link w:val="Pieddepage"/>
    <w:uiPriority w:val="99"/>
    <w:rsid w:val="004925F9"/>
  </w:style>
  <w:style w:type="character" w:styleId="Marquedecommentaire">
    <w:name w:val="annotation reference"/>
    <w:basedOn w:val="Policepardfaut"/>
    <w:uiPriority w:val="99"/>
    <w:semiHidden/>
    <w:unhideWhenUsed/>
    <w:rsid w:val="00FE103B"/>
    <w:rPr>
      <w:sz w:val="16"/>
      <w:szCs w:val="16"/>
    </w:rPr>
  </w:style>
  <w:style w:type="paragraph" w:styleId="Commentaire">
    <w:name w:val="annotation text"/>
    <w:basedOn w:val="Normal"/>
    <w:link w:val="CommentaireCar"/>
    <w:uiPriority w:val="99"/>
    <w:semiHidden/>
    <w:unhideWhenUsed/>
    <w:rsid w:val="00FE103B"/>
    <w:pPr>
      <w:spacing w:line="240" w:lineRule="auto"/>
    </w:pPr>
    <w:rPr>
      <w:sz w:val="20"/>
      <w:szCs w:val="20"/>
    </w:rPr>
  </w:style>
  <w:style w:type="character" w:customStyle="1" w:styleId="CommentaireCar">
    <w:name w:val="Commentaire Car"/>
    <w:basedOn w:val="Policepardfaut"/>
    <w:link w:val="Commentaire"/>
    <w:uiPriority w:val="99"/>
    <w:semiHidden/>
    <w:rsid w:val="00FE103B"/>
    <w:rPr>
      <w:sz w:val="20"/>
      <w:szCs w:val="20"/>
    </w:rPr>
  </w:style>
  <w:style w:type="paragraph" w:styleId="Objetducommentaire">
    <w:name w:val="annotation subject"/>
    <w:basedOn w:val="Commentaire"/>
    <w:next w:val="Commentaire"/>
    <w:link w:val="ObjetducommentaireCar"/>
    <w:uiPriority w:val="99"/>
    <w:semiHidden/>
    <w:unhideWhenUsed/>
    <w:rsid w:val="00FE103B"/>
    <w:rPr>
      <w:b/>
      <w:bCs/>
    </w:rPr>
  </w:style>
  <w:style w:type="character" w:customStyle="1" w:styleId="ObjetducommentaireCar">
    <w:name w:val="Objet du commentaire Car"/>
    <w:basedOn w:val="CommentaireCar"/>
    <w:link w:val="Objetducommentaire"/>
    <w:uiPriority w:val="99"/>
    <w:semiHidden/>
    <w:rsid w:val="00FE103B"/>
    <w:rPr>
      <w:b/>
      <w:bCs/>
      <w:sz w:val="20"/>
      <w:szCs w:val="20"/>
    </w:rPr>
  </w:style>
  <w:style w:type="character" w:styleId="Lienhypertexte">
    <w:name w:val="Hyperlink"/>
    <w:basedOn w:val="Policepardfaut"/>
    <w:uiPriority w:val="99"/>
    <w:unhideWhenUsed/>
    <w:rsid w:val="005A55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553702">
      <w:bodyDiv w:val="1"/>
      <w:marLeft w:val="0"/>
      <w:marRight w:val="0"/>
      <w:marTop w:val="0"/>
      <w:marBottom w:val="0"/>
      <w:divBdr>
        <w:top w:val="none" w:sz="0" w:space="0" w:color="auto"/>
        <w:left w:val="none" w:sz="0" w:space="0" w:color="auto"/>
        <w:bottom w:val="none" w:sz="0" w:space="0" w:color="auto"/>
        <w:right w:val="none" w:sz="0" w:space="0" w:color="auto"/>
      </w:divBdr>
    </w:div>
    <w:div w:id="634992923">
      <w:bodyDiv w:val="1"/>
      <w:marLeft w:val="0"/>
      <w:marRight w:val="0"/>
      <w:marTop w:val="0"/>
      <w:marBottom w:val="0"/>
      <w:divBdr>
        <w:top w:val="none" w:sz="0" w:space="0" w:color="auto"/>
        <w:left w:val="none" w:sz="0" w:space="0" w:color="auto"/>
        <w:bottom w:val="none" w:sz="0" w:space="0" w:color="auto"/>
        <w:right w:val="none" w:sz="0" w:space="0" w:color="auto"/>
      </w:divBdr>
    </w:div>
    <w:div w:id="1377003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p2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9FCC7-6B09-4104-9DEC-E48A88C57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14</Pages>
  <Words>3624</Words>
  <Characters>19936</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Dubreil</dc:creator>
  <cp:lastModifiedBy>Caroline ADAM</cp:lastModifiedBy>
  <cp:revision>15</cp:revision>
  <dcterms:created xsi:type="dcterms:W3CDTF">2020-03-23T08:16:00Z</dcterms:created>
  <dcterms:modified xsi:type="dcterms:W3CDTF">2020-03-23T10:49:00Z</dcterms:modified>
</cp:coreProperties>
</file>